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6B_262/2018 vom 24. Januar 2019</w:t>
      </w:r>
    </w:p>
    <w:p>
      <w:r>
        <w:t>Bundesgericht, 2019-01-24, DE</w:t>
      </w:r>
    </w:p>
    <w:p>
      <w:r>
        <w:rPr>
          <w:b/>
        </w:rPr>
        <w:t xml:space="preserve">Quelle: </w:t>
      </w:r>
      <w:r>
        <w:t>https://mcp.opencaselaw.ch/entscheid/bger_6B_262_2018</w:t>
      </w:r>
    </w:p>
    <w:p>
      <w:r>
        <w:t>FR: TF 6B_262/2018 du 24 janvier 2019</w:t>
      </w:r>
    </w:p>
    <w:p>
      <w:r>
        <w:t>IT: TF 6B_262/2018 del 24 gennaio 2019</w:t>
      </w:r>
    </w:p>
    <w:p>
      <w:pPr>
        <w:pStyle w:val="Heading2"/>
      </w:pPr>
      <w:r>
        <w:t>Erwägungen</w:t>
      </w:r>
    </w:p>
    <w:p>
      <w:r>
        <w:rPr>
          <w:b/>
        </w:rPr>
        <w:t>E. 1.1.1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Nach ständiger Rechtsprechung können öffentlich-rechtliche Ansprüche, auch solche aus öffentlichem Staatshaftungsrecht, nicht adhäsionsweise im Strafprozess geltend gemacht werden und zählen nicht zu den Zivilansprüchen im Sinne von Art. 81 Abs. 1 lit. b Ziff. 5 BGG ( Art. 119 Abs. 2 lit. b StPO ; BGE 131 I 455 E. 1.2.4; Urteile 6B_1200/2017 vom 4. Juni 2018 E. 2.4.1; 6B_1344/2017 vom 8. März 2018 E. 3; je mit Hinweisen).</w:t>
      </w:r>
    </w:p>
    <w:p>
      <w:r>
        <w:rPr>
          <w:b/>
        </w:rPr>
        <w:t>E. 1.1.2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1.1.3</w:t>
      </w:r>
    </w:p>
    <w:p>
      <w:r>
        <w:t>Soweit ein verfassungsmässiger Anspruch auf Ausfällung der im Gesetz vorgesehenen Strafen besteht, kann der Privatkläger, der Opfer eines staatlichen Übergriffs geworden ist, nicht nur in verfahrensrechtlicher Hinsicht, sondern auch in der Sache selbst eine Verfahrenseinstellung oder einen Freispruch anfechten.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Urteil 6B_1200/2017 vom 4. Juni 2018 E. 2.4.2; je mit Hinweisen).</w:t>
      </w:r>
    </w:p>
    <w:p>
      <w:r>
        <w:t>Wird die BV oder die EMRK als verletzt behauptet, besteht eine qualifizierte Rügepflicht ( Art. 106 Abs. 2 BGG ; dazu BGE 142 III 364 E. 2.4 S. 367 f.) Auf die blosse Anrufung einer EMRK-Bestimmung ohne substanziierte Begründung tritt das Bundesgericht nicht ein (vgl. zum Ganzen: Urteil 6B_272/2018 vom 15. Mai 2018 E. 3.4 mit Hinweisen).</w:t>
      </w:r>
    </w:p>
    <w:p>
      <w:r>
        <w:rPr>
          <w:b/>
        </w:rPr>
        <w:t>E. 1.2</w:t>
      </w:r>
    </w:p>
    <w:p>
      <w:r>
        <w:t>Die Beschwerdeführer machen zu ihrer Legitimation im Wesentlichen geltend, sie hätten nach dem Ableben ihres Vaters C.D.________ ein Interesse an der Feststellung der Strafbarkeit des Verhaltens des Beschwerdegegners 2 "in jenen Punkten (sc. Körperverletzung) ", die "Auswirkungen auf ihre Schadenersatz- und Genugtuungsansprüche haben". Zur Natur dieser Forderungen äussern sie sich nicht explizit. Sie bringen jedoch vor, ein Gericht, welches über öffentlich-rechtliche Haftungsansprüche zu befinden habe, fühle sich durch das Strafurteil faktisch gebunden. Es bestehe ein konventionsrechtlicher Anspruch des Geschädigten auf Bestrafung des Täters. Die sich aus Art. 2 und 3 EMRK ergebenden Ansprüche bestünden über den Tod hinaus.</w:t>
      </w:r>
    </w:p>
    <w:p>
      <w:r>
        <w:rPr>
          <w:b/>
        </w:rPr>
        <w:t>E. 1.3.1</w:t>
      </w:r>
    </w:p>
    <w:p>
      <w:r>
        <w:t>Die Beschwerdeführer haben keine Zivilansprüche gegen den Beschwerdegegner 2 erhoben. Nach § 2 Abs. 3 des auf den Tatzeitpunkt anwendbaren Gesetzes vom 21. Dezember 1939 des Kantons Aargau über die Verantwortlichkeit der öffentlichen Beamten und Angestellten und über die Haftung des Staates und der Gemeinden für ihre Beamten (Verantwortlichkeitsgesetz, SAR 150.100) ist ein direktes Klagerecht gegen den fehlbaren Beamten, Angestellten oder Arbeiter ausgeschlossen. Allfällige Ansprüche gegen den Staat wären öffentlich-rechtlicher Natur (vgl. dazu das in derselben Sache ergangene Urteil 1B_273/2009 vom 15. Dezember 2009 E. 1.4). Gemäss Vorinstanz haben sich die Beschwerdeführer als Straf-, nicht aber als Zivilkläger konstituiert und im Strafverfahren keine Zivilforderungen geltend gemacht (angefochtenes Urteil, E. 1. III. 4 S. 15). Sie müssten ihre nicht näher dargelegten Ansprüche ohnedem nach kantonal-öffentlichem Recht geltend machen. Dies erkennen sie offenbar auch selber (vgl. E. 1.2 hiervor). Es mag zwar zutreffen, dass nachvollziehbare Gründe dafür angeführt werden können, die Privatklägerschaft unabhängig von der Rechtsnatur ihres allfälligen Entschädigungsanspruchs zur Beschwerde in Strafsachen zuzulassen, doch kann das Bundesgericht bei der Anwendung des Gesetzes nicht von dessen klarem Wortlaut abweichen (vgl. Urteil 6B_1200/2017 vom 4. Juni 2018 E. 2.4.1 mit Hinweisen). Insoweit sind die Beschwerdeführer nicht im Sinne von Art. 81 Abs. 1 lit. b Ziff. 5 BGG zur Beschwerde legitimiert.</w:t>
      </w:r>
    </w:p>
    <w:p>
      <w:r>
        <w:rPr>
          <w:b/>
        </w:rPr>
        <w:t>E. 1.3.2</w:t>
      </w:r>
    </w:p>
    <w:p>
      <w:r>
        <w:t>In der Sache wenden sich die Beschwerdeführer gegen die Freisprüche von den Vorwürfen der vorsätzlichen und fahrlässigen schweren Körperverletzung sowie des Hausfriedensbruchs. Sie bringen im Wesentlichen vor, die Vorinstanz habe hinsichtlich der schweren Körperverletzung die relevanten Tatsachen nicht erschöpfend und ausreichend klar dargestellt und ihre Begründungspflicht verletzt. Indem sie annehme, der Beschwerdegegner 2 habe auf eine Überwältigung von C.D.________ mit milderen Mitteln vertraut, verfalle sie in Willkür. Dem Beschwerdegegner 2 sei bekannt gewesen, dass es beim Einsatz der Sondereinheit zu erheblichen Verletzungen von C.D.________ kommen könne. Die vorinstanzlichen Erwägungen zum hypothetischen Kausalverlauf und In-dubio-Grundsatz seien unhaltbar. Der Tatbestand des Hausfriedensbruchs sei unabhängig von einer Einwilligung der Ehefrau von C.D.________ erfüllt.</w:t>
      </w:r>
    </w:p>
    <w:p>
      <w:r>
        <w:t>Diese Einwände der Beschwerdeführer richten sich gegen die Beweiswürdigung und die rechtliche Würdigung durch die Vorinstanz. Sie zielen mithin auf eine Überprüfung in der Sache selbst ab. Eine Verletzung von Verfahrensrechten, deren Missachtung eine formelle Rechtsverweigerung darstellt, wird hingegen nicht gerügt. Folglich kann auch gestützt auf die sog. "Star-Praxis" nicht auf die Beschwerde eingetreten werden.</w:t>
      </w:r>
    </w:p>
    <w:p>
      <w:r>
        <w:rPr>
          <w:b/>
        </w:rPr>
        <w:t>E. 1.3.3</w:t>
      </w:r>
    </w:p>
    <w:p>
      <w:r>
        <w:t>Die Beschwerdeführer stützen ihre Beschwerdelegitimation sodann zu Recht nicht auf erlittene Folter oder andere grausame, unmenschliche oder erniedrigende Behandlung, sind sie doch nicht selber Opfer des Vorfalls vom 25. Mai 2009 geworden. Inwiefern eine allfällige auf Misshandlungen zurückzuführende Beschwerdelegitimation von C.D.________ auf sie als Strafkläger übergegangen sein soll, begründen sie nicht. Ob die Voraussetzungen einer strafprozessrechtlichen Nachfolge (vgl. Art. 121 StPO ) vorliegend erfüllt sind und insbesondere ob eine solche Rechtsnachfolge eine auf Grundrechten basierte Beschwerdelegitimation mitumfasst, ist zumindest nicht geradezu offensichtlich. Welche Ansprüche die Beschwerdeführer aus Art. 2 und 3 EMRK ableiten, begründen sie trotz der ihr obliegenden qualifizierten Rügepflicht nicht. Das Bundesgericht tritt deshalb auch darauf nicht ein.</w:t>
      </w:r>
    </w:p>
    <w:p>
      <w:r>
        <w:t>Ohnehin würde Art. 3 EMRK zwar den Anspruch auf eine gründliche, wirksame und unvoreingenommene Ermittlung, jedoch kein Recht auf Verurteilung einer beschuldigten Person gewährleisten. Die Ermittlungspflicht wird nicht allein durch die Einstellung des Strafverfahrens oder den Freispruch der beschuldigten Person verletzt (vgl. Meyer-Ladewig/Lehnert, in: Meyer-Ladewig/Nettesheim/von Raumer [Hrsg.], EMRK, Handkommentar, 4. Aufl. 2017, N. 15 zu Art. 3 EMRK ). Inwiefern der Anspruch der Beschwerdeführer auf wirksamen Rechtsschutz verletzt worden sein soll, ist nicht ersichtlich. Damit sind die Beschwerdeführer auch nicht infolge eines staatlichen Übergriffs zur Beschwerde legitimiert.</w:t>
      </w:r>
    </w:p>
    <w:p>
      <w:r>
        <w:rPr>
          <w:b/>
        </w:rPr>
        <w:t>E. 2</w:t>
      </w:r>
    </w:p>
    <w:p>
      <w:r>
        <w:t>Auf die Beschwerde ist nicht einzutreten. Bei diesem Ausgang sind die Gerichtskosten den Beschwerdeführern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