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262/2014 vom 16. Dezember 2014</w:t>
      </w:r>
    </w:p>
    <w:p>
      <w:r>
        <w:t>Bundesgericht, 2014-12-16, DE</w:t>
      </w:r>
    </w:p>
    <w:p>
      <w:r>
        <w:rPr>
          <w:b/>
        </w:rPr>
        <w:t xml:space="preserve">Quelle: </w:t>
      </w:r>
      <w:r>
        <w:t>https://mcp.opencaselaw.ch/entscheid/bger_6B_262_2014</w:t>
      </w:r>
    </w:p>
    <w:p>
      <w:r>
        <w:t>FR: TF 6B 262/2014 du 16 décembre 2014</w:t>
      </w:r>
    </w:p>
    <w:p>
      <w:r>
        <w:t>IT: TF 6B 262/2014 del 16 dicembre 2014</w:t>
      </w:r>
    </w:p>
    <w:p>
      <w:pPr>
        <w:pStyle w:val="Heading2"/>
      </w:pPr>
      <w:r>
        <w:t>Regeste</w:t>
      </w:r>
    </w:p>
    <w:p>
      <w:r>
        <w:t>Verletzung von Verkehrsregeln, Willkür | Straftaten</w:t>
      </w:r>
    </w:p>
    <w:p>
      <w:pPr>
        <w:pStyle w:val="Heading2"/>
      </w:pPr>
      <w:r>
        <w:t>Erwägungen</w:t>
      </w:r>
    </w:p>
    <w:p>
      <w:r>
        <w:rPr>
          <w:b/>
        </w:rPr>
        <w:t>E. 1.1</w:t>
      </w:r>
    </w:p>
    <w:p>
      <w:r>
        <w:t>Der Beschwerdeführer rügt eine Verletzung des Anklageprinzips. Der Strafbefehl genüge nicht den formellen Anforderungen einer Anklageschrift. Er enthalte keinen Anklagesachverhalt, der einer tatsächlichen oder rechtlichen Würdigung unterzogen werden könne, sondern begnüge sich mit der Aufzählung der als verletzt erachteten Verkehrsregeln.</w:t>
      </w:r>
    </w:p>
    <w:p>
      <w:r>
        <w:rPr>
          <w:b/>
        </w:rPr>
        <w:t>E. 1.2</w:t>
      </w:r>
    </w:p>
    <w:p>
      <w:r>
        <w:t>Die Vorinstanz erwägt, die Sachverhaltsumschreibung beschränke sich zwar weitestgehend auf die Aufzählung der angeblich verletzten Verkehrsregeln, jedoch gehe aus dem als Anklageschrift dienenden Strafbefehl hervor, welche Handlungen des Beschwerdeführers Gegenstand der Beurteilung bildeten und welcher strafrechtliche Tatbestand ihm zur Last gelegt werde. Der vorliegend zu beurteilende einfach gelagerte Übertretungstatbestand bedürfe keiner so detaillierten Sachverhaltsumschreibung, wie dies bei komplexen und gravierenden Deliktsvorwürfen der Fall sei. Zudem habe das erstinstanzliche Gericht anlässlich der Hauptverhandlung einen Würdigungsvorbehalt gemäss Art. 344 StPO gemacht, weshalb es dem Beschwerdeführer und seinem Verteidiger ohne Weiteres möglich gewesen sei, ihre Verteidigungsrechte angemessen wahrzunehmen.</w:t>
      </w:r>
    </w:p>
    <w:p>
      <w:r>
        <w:rPr>
          <w:b/>
        </w:rPr>
        <w:t>E. 1.3</w:t>
      </w:r>
    </w:p>
    <w:p>
      <w:r>
        <w:t>Entschliesst sich die Staatsanwaltschaft nach einer Einsprache, am Strafbefehl festzuhalten, überweist sie die Akten unverzüglich dem erstinstanzlichen Gericht zur Durchführung des Hauptverfahrens. Der Strafbefehl gilt als Anklageschrift ( Art. 356 Abs. 1 StPO ). Nach dem Anklagegrundsatz ( Art. 9 Abs. 1 StPO ) bestimmt die Anklageschrift den Gegenstand des Gerichtsverfahrens und dient der Information der beschuldigten Person (Umgrenzungs- und Informationsfunktion). Die Anklage hat die der beschuldigten Person zur Last gelegten Delikte in ihrem Sachverhalt so präzise zu umschreiben, dass die Vorwürfe in objektiver und subjektiver Hinsicht genügend konkretisiert sind ( BGE 133 IV 235 E. 6.2 f. mit Hinweisen).</w:t>
      </w:r>
    </w:p>
    <w:p>
      <w:r>
        <w:rPr>
          <w:b/>
        </w:rPr>
        <w:t>E. 1.4</w:t>
      </w:r>
    </w:p>
    <w:p>
      <w:r>
        <w:t>Der Inhalt des Strafbefehls wird durch seine Doppelfunktion als Anklageersatz im Falle einer Einsprache ( Art. 356 Abs. 1 Satz 2 StPO ) und als rechtskräftiges Urteil beim Verzicht auf Einsprache ( Art. 354 Abs. 3 StPO ) bestimmt (Franz Riklin, in: Basler Kommentar, Schweizerische Strafprozessordnung, 2. Aufl. 2014, N. 1 zu Art. 353 StPO ; vgl. auch Michael Daphinoff, Das Strafbefehlsverfahren in der Schweizerischen Strafprozessordnung, 2012, S. 436 f.; Marc Thommen, Kurzer Prozess - fairer Prozess?, Bern 2013, S. 90). Nach Art. 353 Abs. 1 lit. c StPO enthält der Strafbefehl insbesondere den Sachverhalt, welcher der beschuldigten Person zur Last gelegt wird. Die Sachverhaltsumschreibung muss den Anforderungen an eine Anklage genügen. Das heisst, es bedarf einer konzisen, aber dennoch genauen Beschreibung des dem Beschuldigten vorgeworfenen Sachverhalts (Christian Schwarzenegger, in: Donatsch/Hansjakob/Lieber [Hrsg.], Kommentar zur Schweizerischen Strafprozessordnung, 2. Aufl. 2014, N. 3 zu Art. 353 StPO ; Moreillon/Parein-Reymond, Code de procédure pénale, 2013, N. 4 zu Art. 353 StPO ). Die Anklageschrift bezeichnet u.a. möglichst kurz, aber genau die der beschuldigten Person vorgeworfenen Taten mit Beschreibung von Ort, Datum, Zeit, Art und Folgen der Tatausführung ( Art. 325 Abs. 1 lit. f StPO ). Die Fixierung des Anklagesachverhalts dient zunächst einmal der Umsetzung des Anklagegrundsatzes, indem dadurch der Gegenstand der gerichtlichen Beurteilung abschliessend bestimmt und der beschuldigten Person eine effektive Verteidigung gewährleistet wird. Eine möglichst genaue und umfassende Umschreibung des massgeblichen Sachverhalts ist im Strafbefehl aber auch wegen des Verbots der doppelten Strafverfolgung ("ne bis in idem", Art. 11 StPO ) erforderlich. Erwächst der Strafbefehl in Rechtskraft, muss anhand des darin festgehaltenen Anklagesachverhalts geprüft werden können, ob eine bereits beurteilte Strafsache vorliegt (Moreillon/Parein-Reymond, a.a.O., N. 6 zu Art. 353 StPO ; Sabine Gless, Der Strafbefehl, in: Marianne Heer [Hrsg.], Schweizerische Strafprozessordnung und Schweizerische Jugendstrafprozessordnung, 2010, S. 41 ff., S. 59).</w:t>
      </w:r>
    </w:p>
    <w:p>
      <w:r>
        <w:rPr>
          <w:b/>
        </w:rPr>
        <w:t>E. 1.5</w:t>
      </w:r>
    </w:p>
    <w:p>
      <w:r>
        <w:t>Aus der Doppelfunktion des Strafbefehls ergibt sich, dass die Sachverhaltsumschreibung im Strafbefehl den an eine Anklageschrift gestellten Ansprüchen vollumfänglich genügen muss. Entgegen der von der Vorinstanz vertretenen Rechtsauffassung gilt dies unbesehen um die Frage, wie komplex sich der Sachverhalt erweist oder welche Art von Delikten zur Diskussion steht. Auch bei einfach gelagerten Übertretungsstraftatbeständen muss aus dem Strafbefehl ersichtlich sein, welcher konkrete Lebenssachverhalt zur Verurteilung geführt hat bzw. (im Fall der Einsprache) zur Anklage gebracht wird. Der von der Vorinstanz angerufene Würdigungsvorbehalt ( Art. 344 StPO ) ändert daran nichts, da sich dieser nur auf eine von der Anklage abweichende rechtliche Beurteilung bezieht und eine nicht ordnungsgemäss erstellte Anklage nicht zu ersetzen oder zu ergänzen vermag.</w:t>
      </w:r>
    </w:p>
    <w:p>
      <w:r>
        <w:rPr>
          <w:b/>
        </w:rPr>
        <w:t>E. 1.6</w:t>
      </w:r>
    </w:p>
    <w:p>
      <w:r>
        <w:t>Der vorliegende Strafbefehl weist nicht den gesetzlich vorgesehenen Inhalt auf und genügt den Anforderungen an eine Anklageschrift nicht. Es findet sich darin keine Umschreibung des Anklagevorwurfs im Sinne eines realen Lebenssachverhalts. Vielmehr beschränkt sich die Staatsanwaltschaft darauf, die angeblich missachteten Verkehrsregeln aufzuzählen und gestützt darauf Anklage wegen einfacher Verletzung der Verkehrsregeln zu erheben. Aus dem Strafbefehl ergibt sich weder, welche konkreten Tathandlungen oder -unterlassungen dem Beschwerdeführer zur Last gelegt werden, noch welche Folgen sich daraus ergeben sollen. Es ist nicht bekannt, wo genau und wie sich der Unfall nach Auffassung der Staatsanwaltschaft abgespielt haben soll, welche Fahrzeuge beteiligt gewesen und wer wie schwer verletzt bzw. geschädigt worden sein soll. Wie das Bundesgericht bereits im Urteil 6B_848/2013 vom 3. April 2014 E. 1.3.1 festgehalten hat, muss aus dem Strafbefehl selbst ersichtlich sein, welcher konkrete Lebensvorgang zur Beurteilung steht. Es genügt nicht, dass sich der Sachverhalt aus den Akten ergibt oder den Anforderungen des Anklagegrundsatzes erst Rechnung getragen wird, wenn Einsprache erfolgt. Fehlt es aber an einem in der Anklageschrift hinreichend umschriebenen Lebenssachverhalt, sind die Voraussetzungen für eine gerichtliche Überprüfung nicht gegeben. Das Gericht hat die Anklage gegebenenfalls zur Ergänzung oder Berichtigung zurückzuweisen ( Art. 329 Abs. 2 Satz 1 StPO ). Da das Gericht bei der Beurteilung an den in der Anklage umschriebenen Sachverhalt gebunden ist (vgl. Art. 350 Abs. 1 StPO ), kann es diesen nicht anhand der im Strafbefehl abstrakt aufgeführten Gesetzesnormen, die auf eine Vielzahl von unterschiedlichen Lebenssachverhalten Anwendung finden, anhand der Akten selbst erstellen.</w:t>
      </w:r>
    </w:p>
    <w:p>
      <w:r>
        <w:rPr>
          <w:b/>
        </w:rPr>
        <w:t>E. 2</w:t>
      </w:r>
    </w:p>
    <w:p>
      <w:r>
        <w:t>Die Beschwerde ist gutzuheissen und das angefochtene Urteil aufzuheben. Es sind keine Kosten zu erheben ( Art. 66 Abs. 1 und 4 BGG ). Der Kanton Bern hat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