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261/2017 vom 13. November 2017</w:t>
      </w:r>
    </w:p>
    <w:p>
      <w:r>
        <w:t>Bundesgericht, 2017-11-13, DE</w:t>
      </w:r>
    </w:p>
    <w:p>
      <w:r>
        <w:rPr>
          <w:b/>
        </w:rPr>
        <w:t xml:space="preserve">Quelle: </w:t>
      </w:r>
      <w:r>
        <w:t>https://mcp.opencaselaw.ch/entscheid/bger_6B_261_2017</w:t>
      </w:r>
    </w:p>
    <w:p>
      <w:r>
        <w:t>FR: TF 6B 261/2017 du 13 novembre 2017</w:t>
      </w:r>
    </w:p>
    <w:p>
      <w:r>
        <w:t>IT: TF 6B 261/2017 del 13 novembre 2017</w:t>
      </w:r>
    </w:p>
    <w:p>
      <w:pPr>
        <w:pStyle w:val="Heading2"/>
      </w:pPr>
      <w:r>
        <w:t>Regeste</w:t>
      </w:r>
    </w:p>
    <w:p>
      <w:r>
        <w:t>Versuchte schwere Körperverletzung, Strafzumessung | Straftaten</w:t>
      </w:r>
    </w:p>
    <w:p>
      <w:pPr>
        <w:pStyle w:val="Heading2"/>
      </w:pPr>
      <w:r>
        <w:t>Erwägungen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141 IV 305 E. 1.2 S. 308 f.; 140 III 16 E. 2.1 S. 18 f.; je mit Hinweisen). Eine entsprechende Rüge muss klar und substanziiert begründet werden ( Art. 42 Abs. 2 und Art. 106 Abs. 2 BGG ; BGE 141 IV 249 E. 1.3.1 S. 253 ; 138 I 225 E. 3.2 S. 228; je mit Hinweisen). Auf eine rein appellatorische Kritik am angefochtenen Entscheid tritt das Bundesgericht nicht ein ( BGE 142 III 364 E. 2.4 S. 368).</w:t>
      </w:r>
    </w:p>
    <w:p>
      <w:r>
        <w:rPr>
          <w:b/>
        </w:rPr>
        <w:t>E. 1.2</w:t>
      </w:r>
    </w:p>
    <w:p>
      <w:r>
        <w:t>Was die Beschwerdeführerin gegen den von der Vorinstanz festgestellten Sachverhalt vorbringt, ist unbehelflich. Es betrifft dies insbesondere die detailliert untermauerte Feststellung, der allenfalls mehr mit der offenen bzw. flachen Hand denn mit der geschlossenen Faust geführte Schlag sei nicht aussergewöhnlich heftig gewesen bzw. nicht mit voller Wucht erfolgt. Die diesbezüglichen Einwände beschränken sich im Wesentlichen auf die nicht näher begründete Behauptung, das Überwachungsvideo aus der A.________ Bar lasse diesen Schluss nicht zu. Die Wucht des Schlages ergebe sich vielmehr aus dem Verletzungsbild des Barbetreibers, insbesondere aus dem zweifachen Kieferbruch. Damit legt die Beschwerdeführerin lediglich ihre Sicht der Dinge dar, ohne sich (qualifiziert) mit den massgebenden Ausführungen des angefochtenen Entscheids, namentlich jenen in E. 3 lit. c/aa, auseinanderzusetzen. Auf derlei appellatorische Kritik tritt das Bundesgericht nicht ein (vgl. E. 1.1. hievor).</w:t>
      </w:r>
    </w:p>
    <w:p>
      <w:r>
        <w:rPr>
          <w:b/>
        </w:rPr>
        <w:t>E. 2</w:t>
      </w:r>
    </w:p>
    <w:p>
      <w:r>
        <w:t>Die Beschwerdeführerin rügt weiter eine Verletzung von Bundesrecht, weil die Vorinstanz die Tat, welche beim Barbetreiber unbestritten zu keinen schweren Verletzungen im Sinne von Art. 122 StGB (vgl. nachfolgend E. 2.1) geführt hatte, nicht als versuchte schwere Körperverletzung qualifizierte.</w:t>
      </w:r>
    </w:p>
    <w:p>
      <w:r>
        <w:rPr>
          <w:b/>
        </w:rPr>
        <w:t>E. 2.1</w:t>
      </w:r>
    </w:p>
    <w:p>
      <w:r>
        <w:t>Nach Art. 122 StGB wird wegen schwerer Körperverletzung bestraft,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Die in diesen Absätzen genannten Beeinträchtigungen haben beispielhaften Charakter. Absatz 3 nennt im Sinne einer Generalklausel die "andere schwere Schädigung des Körpers oder der Gesundheit".</w:t>
      </w:r>
    </w:p>
    <w:p>
      <w:r>
        <w:rPr>
          <w:b/>
        </w:rPr>
        <w:t>E. 2.2</w:t>
      </w:r>
    </w:p>
    <w:p>
      <w:r>
        <w:t>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 BGE 140 IV 150 E. 3.4 S. 152). Vorsätzlich begeht ein Verbrechen oder Vergehen, wer die Tat mit Wissen und Willen ausführt oder wer die Verwirklichung der Tat für möglich hält und in Kauf nimmt ( Art. 12 Abs. 1 und 2 StGB ). Eventualvorsatz ist gegeben, wenn der Täter die Tatbestandsverwirklichung für möglich hält, aber dennoch handelt, weil er den Erfolg für den Fall seines Eintritts in Kauf nimmt, sich mit ihm abfindet, mag er ihm auch unerwünscht sein ( BGE 137 IV 1 E. 4.2.3 S. 4 mit Hinweis; zur Abgrenzung zwischen Eventualvorsatz und bewusster Fahrlässigkeit BGE 133 IV 9 E. 4.1 S. 16 f. mit Hinweisen). Was der Täter wusste, wollte und in Kauf nahm, betrifft sog. innere Tatsachen, die vor Bundesgericht nur im Rahmen von Art. 97 Abs. 1 BGG gerügt werden können. Rechtsfrage ist hingegen, ob im Lichte der festgestellten Tatsachen der Schluss auf Eventualvorsatz begründet ist ( BGE 137 IV 1 E. 4.2.3 S. 4 mit Hinweis).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Eventualvorsatz kann aber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mit Hinweisen).</w:t>
      </w:r>
    </w:p>
    <w:p>
      <w:r>
        <w:rPr>
          <w:b/>
        </w:rPr>
        <w:t>E. 2.3</w:t>
      </w:r>
    </w:p>
    <w:p>
      <w:r>
        <w:t>Die Beschwerdeführerin weist selber darauf hin, dass die rechtliche Qualifikation von Körperverletzungen als Folge von Faustschlägen rechtsprechungsgemäss von den konkreten Tatumständen abhängt. Massgebend sind insbesondere die Heftigkeit des Schlages und die Verfassung des Opfers (Urteil 6B_802/2013 vom 27. Januar 2014 E. 2.3.3 mit zahlreichen Hinweisen). Nichts anderes kann gelten, sollte der Schlag im vorliegenden Fall mit der offenen bzw. flachen Hand statt mit der Faust geführt worden sein (vgl. auch Urteil 6B_802/2013 vom 27. Januar 2014 E. 2.3.3 betreffend Schlag mit dem Ellbogen/Arm). So oder anders erfolgte der einzelne Schlag nicht aussergewöhnlich heftig bzw. nicht mit voller Wucht (vgl. E. 1.2 hievor). Entsprechend fehl geht der von der Beschwerdeführerin bemühte Vergleich mit dem Sachverhalt im Urteil 6B_1180/2015 vom 13. Mai 2016, wo mehrfache Fusstritte und Kniestösse erheblicher Intensität gegen den Kopf und das Gesicht des Opfers zu beurteilen waren. Unbehelflich ist auch der Verweis auf das Urteil 6B_366/2014 vom 23. April 2015. Das Bundesgericht hatte sich in jenem Fall mit heftigen Faustschlägen gegen ein 87-jähriges Opfer in körperlich reduziertem Zustand zu befassen. Im Gegensatz dazu war der - ohnehin nicht mit voller Wucht angegriffene - Barbetreiber hier unbestritten unbeeinträchtigt in seiner körperlichen Verfassung.</w:t>
      </w:r>
    </w:p>
    <w:p>
      <w:r>
        <w:rPr>
          <w:b/>
        </w:rPr>
        <w:t>E. 2.4</w:t>
      </w:r>
    </w:p>
    <w:p>
      <w:r>
        <w:t>Es sind auch keine anderen Gründe ersichtlich oder in der Beschwerde substanziiert dargetan, welche für eine Qualifikation der Tat als versuchte schwere Körperverletzung sprechen würden. Das angefochtene Urteil verletzt mit der Verneinung einer solchen Qualifikation kein Bundesrecht.</w:t>
      </w:r>
    </w:p>
    <w:p>
      <w:r>
        <w:rPr>
          <w:b/>
        </w:rPr>
        <w:t>E. 3</w:t>
      </w:r>
    </w:p>
    <w:p>
      <w:r>
        <w:t>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