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260/2024 vom 22. April 2024</w:t>
      </w:r>
    </w:p>
    <w:p>
      <w:r>
        <w:t>Bundesgericht, 2024-04-22, FR</w:t>
      </w:r>
    </w:p>
    <w:p>
      <w:r>
        <w:rPr>
          <w:b/>
        </w:rPr>
        <w:t xml:space="preserve">Quelle: </w:t>
      </w:r>
      <w:r>
        <w:t>https://mcp.opencaselaw.ch/entscheid/bger_6B_260_2024</w:t>
      </w:r>
    </w:p>
    <w:p>
      <w:r>
        <w:t>FR: TF 6B 260/2024 du 22 avril 2024</w:t>
      </w:r>
    </w:p>
    <w:p>
      <w:r>
        <w:t>IT: TF 6B 260/2024 del 22 aprile 2024</w:t>
      </w:r>
    </w:p>
    <w:p>
      <w:pPr>
        <w:pStyle w:val="Heading2"/>
      </w:pPr>
      <w:r>
        <w:t>Regeste</w:t>
      </w:r>
    </w:p>
    <w:p>
      <w:r>
        <w:t>Irrecevabilité du recours en matière pénale (fixation de la peine) | Droit pénal (en général)</w:t>
      </w:r>
    </w:p>
    <w:p>
      <w:pPr>
        <w:pStyle w:val="Heading2"/>
      </w:pPr>
      <w:r>
        <w:t>Erwägungen</w:t>
      </w:r>
    </w:p>
    <w:p>
      <w:r>
        <w:rPr>
          <w:b/>
        </w:rPr>
        <w:t>E. 1</w:t>
      </w:r>
    </w:p>
    <w:p>
      <w:r>
        <w:t>Par acte expédié en date du 25 mars 2024, reçu au Tribunal fédéral le 27 mars 2024, A.________ a formé un recours en matière pénale au Tribunal fédéral contre le jugement rendu le 8 janvier 2024 à son encontre par la Cour d'appel pénale du Tribunal cantonal vaudois. Par ce jugement, dite autorité a partiellement admis l'appel formé par le Ministère public vaudois à l'encontre du jugement rendu le 16 juin 2023 par le Tribunal de police de l'arrondissement de la Broye et du Nord vaudois, a libéré A.________ du chef de prévention d'infraction à la LEI et a constaté qu'il s'était rendu coupable de vol, de rupture de ban et de contravention à la LStup. Elle l'a condamné à une peine privative de liberté de 180 jours sous déduction de 3 jours de détention avant jugement, sanction partiellement complémentaire à différentes sanctions préalablement prononcées par les ministères publics fribourgeois, valaisan et bâlois. Elle a lui a également infligé une amende de 300 fr., convertible en 3 jours de peine privative de liberté en cas de non paiement, sanction, elle aussi, partiellement complémentaire à celles des ministères publics valaisan et bâlois.</w:t>
      </w:r>
    </w:p>
    <w:p>
      <w:r>
        <w:rPr>
          <w:b/>
        </w:rPr>
        <w:t>E. 2</w:t>
      </w:r>
    </w:p>
    <w:p>
      <w:r>
        <w:t>Par courrier de la Cour de céans du 27 mars 2024, A.________ a été rendu attentif aux exigences de motivation d'un recours en matière pénale au Tribunal fédéral. Il lui a été précisé que le délai de recours n'était pas encore échu et qu'il conservait la faculté de compléter son écriture, à défaut de quoi il serait statué en l'état du dossier. A.________ n'a pas déposé d'écriture complémentaire par la suite.</w:t>
      </w:r>
    </w:p>
    <w:p>
      <w:r>
        <w:rPr>
          <w:b/>
        </w:rPr>
        <w:t>E. 3</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 En l'espèce, l'écriture du recourant, très succincte, ne comporte aucune motivation topique destinée à démontrer en quoi la cour cantonale aurait constaté les faits de manière arbitraire ou violé le droit fédéral. Bien que rendu attentif aux exigences rappelées ci-dessus, le recourant n'a pas complété son mémoire. Force est donc de constater que le recours ne répond manifestement pas aux exigences de motivation d'un recours en matière pénale au Tribunal fédéral (cf. art. 42 al. 2 et 106 al. 2 LTF).</w:t>
      </w:r>
    </w:p>
    <w:p>
      <w:r>
        <w:rPr>
          <w:b/>
        </w:rPr>
        <w:t>E. 4</w:t>
      </w:r>
    </w:p>
    <w:p>
      <w:r>
        <w:t>Au vu de ce qui précède, le recours doit être déclaré irrecevable, ce qu'il convient de constater dans la procédure prévue par l' art. 108 al. 1 let. b LTF . Le recourant, qui succombe, supporte les frais de la procédure. Ceux-ci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