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6B_25/2026 vom 16. März 2026</w:t>
      </w:r>
    </w:p>
    <w:p>
      <w:r>
        <w:t>Bundesgericht, 2026-03-16, DE</w:t>
      </w:r>
    </w:p>
    <w:p>
      <w:r>
        <w:rPr>
          <w:b/>
        </w:rPr>
        <w:t xml:space="preserve">Quelle: </w:t>
      </w:r>
      <w:r>
        <w:t>https://mcp.opencaselaw.ch/entscheid/bger_6B_25_2026</w:t>
      </w:r>
    </w:p>
    <w:p>
      <w:r>
        <w:t>FR: TF 6B_25/2026 du 16 mars 2026</w:t>
      </w:r>
    </w:p>
    <w:p>
      <w:r>
        <w:t>IT: TF 6B_25/2026 del 16 marzo 2026</w:t>
      </w:r>
    </w:p>
    <w:p>
      <w:pPr>
        <w:pStyle w:val="Heading2"/>
      </w:pPr>
      <w:r>
        <w:t>Erwägungen</w:t>
      </w:r>
    </w:p>
    <w:p>
      <w:r>
        <w:rPr>
          <w:b/>
        </w:rPr>
        <w:t>E. 1</w:t>
      </w:r>
    </w:p>
    <w:p>
      <w:r>
        <w:t>Das Obergericht des Kantons Schaffhausen verurteilte den Beschwerdeführer am 19. Dezember 2025 im Berufungsverfahren wegen Vergehens gegen das Sprengstoffgesetz und wegen verbotener Gesichtsverhüllung zu einer Geldstrafe von 20 Tagessätzen zu Fr. 150.--, bedingt aufgeschoben bei einer Probezeit von zwei Jahren, sowie zu einer Busse von Fr. 300.-- (Ersatzfreiheitsstrafe 2 Tage). Der Beschwerdeführer wendet sich an das Bundesgericht, ohne einen ausdrücklichen Antrag zu stellen. Offensichtlich strebt er einen Freispruch an.</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Für die Rüge der Verletzung von Grundrechten, einschliesslich der Anfechtung des Sachverhalts wegen Willkür (vgl. Art. 97 Abs. 1 BGG ), gelten qualifizierte Rügeanforderungen ( Art. 106 Abs. 2 BGG ). Willkür bei der Sachverhaltsfeststellung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Auf ungenügend begründete Rügen tritt das Bundesgericht nicht ein ( BGE 147 IV 73 E. 4.1.2).</w:t>
      </w:r>
    </w:p>
    <w:p>
      <w:r>
        <w:rPr>
          <w:b/>
        </w:rPr>
        <w:t>E. 3</w:t>
      </w:r>
    </w:p>
    <w:p>
      <w:r>
        <w:t>Der Beschwerdeführer bestreitet, je einen pyrotechnischen Gegenstand gekauft respektive verwendet noch sich jemals durch Vermummung unkenntlich gemacht zu haben. Das angefochtene Urteil basiere auf "absolut haltloser Willkür", stehe im "krassem Widerspruch zur tatsächlichen Situation" und ignoriere zentrale, von ihm vorgetragene Punkte.</w:t>
      </w:r>
    </w:p>
    <w:p>
      <w:r>
        <w:t>Die Vorinstanz hat sich mit der Würdigung der Beweise befasst (vgl. Urteil S. 7 unten ff. E. 4.3). Was der Beschwerdeführer dagegen vorbringt, vermag Willkür nicht im Ansatz zu begründen. Er räumt ein, widersprüchliche Aussagen gemacht zu haben, und erklärt dem Bundesgericht warum. Anschliessend beschränkt er sich darauf, dem Gericht seine Sicht auf die Dinge zu schildern und dem vorinstanzlich festgestellten Sachverhalt gegenüberzustellen, ohne aufzuzeigen, inwiefern die Vorinstanz die Beweise willkürlich gewürdigt und den Sachverhalt offensichtlich unrichtig festgestellt haben soll ( Art. 106 Abs. 2 BGG ). Seine Beschwerde genügt den Begründungsanforderungen offensichtlich nicht. Darauf ist mangels einer tauglichen Begründung im Verfahren nach Art. 108 BGG nicht einzutreten.</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