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6B_259/2024 vom 11. April 2024</w:t>
      </w:r>
    </w:p>
    <w:p>
      <w:r>
        <w:t>Bundesgericht, 2024-04-11, DE</w:t>
      </w:r>
    </w:p>
    <w:p>
      <w:r>
        <w:rPr>
          <w:b/>
        </w:rPr>
        <w:t xml:space="preserve">Quelle: </w:t>
      </w:r>
      <w:r>
        <w:t>https://mcp.opencaselaw.ch/entscheid/bger_6B_259_2024</w:t>
      </w:r>
    </w:p>
    <w:p>
      <w:r>
        <w:t>FR: TF 6B_259/2024 du 11 avril 2024</w:t>
      </w:r>
    </w:p>
    <w:p>
      <w:r>
        <w:t>IT: TF 6B_259/2024 del 11 aprile 2024</w:t>
      </w:r>
    </w:p>
    <w:p>
      <w:pPr>
        <w:pStyle w:val="Heading2"/>
      </w:pPr>
      <w:r>
        <w:t>Erwägungen</w:t>
      </w:r>
    </w:p>
    <w:p>
      <w:r>
        <w:rPr>
          <w:b/>
        </w:rPr>
        <w:t>E. 1</w:t>
      </w:r>
    </w:p>
    <w:p>
      <w:r>
        <w:t>Die Beschwerde vom 24. März 2024 (Poststempel 25. März 2024) gegen den Entscheid des Obergerichts des Kantons Aargau vom 27. Februar 2024 wurde mit Schreiben vom 4. April 2024 zurückgezogen. Das Verfahren ist infolge Beschwerderückzugs abzuschreiben.</w:t>
      </w:r>
    </w:p>
    <w:p>
      <w:r>
        <w:rPr>
          <w:b/>
        </w:rPr>
        <w:t>E. 2</w:t>
      </w:r>
    </w:p>
    <w:p>
      <w:r>
        <w:t>Es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