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258/2021 vom 12. Juli 2021</w:t>
      </w:r>
    </w:p>
    <w:p>
      <w:r>
        <w:t>Bundesgericht, 2021-07-12, FR</w:t>
      </w:r>
    </w:p>
    <w:p>
      <w:r>
        <w:rPr>
          <w:b/>
        </w:rPr>
        <w:t xml:space="preserve">Quelle: </w:t>
      </w:r>
      <w:r>
        <w:t>https://mcp.opencaselaw.ch/entscheid/bger_6B_258_2021</w:t>
      </w:r>
    </w:p>
    <w:p>
      <w:r>
        <w:t>FR: TF 6B 258/2021 du 12 juillet 2021</w:t>
      </w:r>
    </w:p>
    <w:p>
      <w:r>
        <w:t>IT: TF 6B 258/2021 del 12 luglio 2021</w:t>
      </w:r>
    </w:p>
    <w:p>
      <w:pPr>
        <w:pStyle w:val="Heading2"/>
      </w:pPr>
      <w:r>
        <w:t>Regeste</w:t>
      </w:r>
    </w:p>
    <w:p>
      <w:r>
        <w:t>Ordonnance de classement (vol) | Procédure pénale</w:t>
      </w:r>
    </w:p>
    <w:p>
      <w:pPr>
        <w:pStyle w:val="Heading2"/>
      </w:pPr>
      <w:r>
        <w:t>Erwägungen</w:t>
      </w:r>
    </w:p>
    <w:p>
      <w:r>
        <w:rPr>
          <w:b/>
        </w:rPr>
        <w:t>E. 1</w:t>
      </w:r>
    </w:p>
    <w:p>
      <w:r>
        <w:t>Le Tribunal fédéral examine d'office ( art. 29 al. 1 LTF ) et librement la recevabilité des recours qui lui sont soumis ( ATF 143 IV 357 consid.1).</w:t>
      </w:r>
    </w:p>
    <w:p>
      <w:r>
        <w:rPr>
          <w:b/>
        </w:rPr>
        <w:t>E. 1.1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En l'espèce, la recourante a pris part à la procédure devant la cour cantonale et expose que la reconnaissance de la culpabilité de l'intimée est le seul moyen pour elle de recouvrer la valeur des objets que cette dernière lui aurait dérobés. Il y a dès lors lieu d'admettre qu'elle dispose de la qualité pour recourir.</w:t>
      </w:r>
    </w:p>
    <w:p>
      <w:r>
        <w:rPr>
          <w:b/>
        </w:rPr>
        <w:t>E. 2</w:t>
      </w:r>
    </w:p>
    <w:p>
      <w:r>
        <w:t>La recourante reproche à la cour cantonale d'avoir fait une mauvaise application des art. 6, 139 et 319 al. 1 CPP , soit en particulier du principe "in dubio pro duriore", en qualifiant de manière erronée de "fishing expedition" les mesures d'investigation qu'elle avait sollicitées. Elle soutient qu'elle a apporté la preuve de la très haute vraisemblance que l'intimée soit coupable des infractions dénoncées.</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arrêt 6B_77/2021 du 6 mai 2021 consid. 2.1). Les critiques de nature appellatoire sont irrecevables ( ATF 145 IV 154 consid. 1.1 p. 156).</w:t>
      </w:r>
    </w:p>
    <w:p>
      <w:r>
        <w:rPr>
          <w:b/>
        </w:rPr>
        <w:t>E. 2.2</w:t>
      </w:r>
    </w:p>
    <w:p>
      <w:r>
        <w:t>Conformément à l' art. 319 al. 1 CPP , le ministère public ordonne le classement de tout ou partie de la procédure notamment lorsqu'aucun soupçon justifiant une mise en accusation n'est établi (let. a). La décision de classer la procédure doit être prise en application du principe "in dubio pro duriore". Ce principe, qui vaut également pour l'autorité judiciaire chargée de l'examen d'une décision de classement, signifie qu'en règle générale un classement ou une non-entrée en matière ne peut être prononcé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L'autorité de recours ne saurait ainsi confirmer un classement au seul motif qu'une condamnation n'apparaît pas plus probable qu'un acquittement (arrêt 6B_1164/2020 du 10 juin 2021 consid. 2.1 et les arrêts cités).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 ATF 143 IV 241 consid. 2.2.2 p. 243 et les arrêts cités).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6B_1164/2020 précité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6B_1164/2020 précité consid. 2.2 et les arrêts cités).</w:t>
      </w:r>
    </w:p>
    <w:p>
      <w:r>
        <w:rPr>
          <w:b/>
        </w:rPr>
        <w:t>E. 2.3</w:t>
      </w:r>
    </w:p>
    <w:p>
      <w:r>
        <w:t>La cour cantonale a considéré que la recourante avait émis de simples hypothèses, sans apporter aucun élément concret permettant de soupçonner l'intimée des vols qui lui sont reprochés. Elle a en outre relevé que la liste des objets dérobés avait varié avec le temps alors que l'intimée avait pour sa part donné des explications crédibles et cohérentes et que la perquisition effectuée à son domicile n'avait permis de recueillir aucun élément probant.</w:t>
      </w:r>
    </w:p>
    <w:p>
      <w:r>
        <w:rPr>
          <w:b/>
        </w:rPr>
        <w:t>E. 2.4</w:t>
      </w:r>
    </w:p>
    <w:p>
      <w:r>
        <w:t>Il ressort des constatations de fait non mises en cause par la recourante que les déclarations de celle-ci concernant les objets qui auraient été soustraits ont varié alors que les explications de l'intimée ont été crédibles et cohérentes. Il y a ainsi lieu d'admettre que pour cette raison déjà on se trouve dans une situation où la mise en accusation ne s'impose pas. Par ailleurs, il est fort improbable que les moyens de preuve sollicités par la recourante soient propres à fonder une accusation. En effet, même s'il était possible de constater que l'intimée a été active, le cas échéant sous des pseudonymes, sur internet dans la revente d'objets entre particuliers il faudrait encore pouvoir établir qu'elle a de cette manière vendu les objets dont la recourante lui reproche la soustraction. De même d'éventuels problèmes avec d'anciens employeurs ne sauraient fonder une accusation pour des actes totalement distincts. Compte tenu de l'ensemble de ces circonstances, la cour cantonale n'a pas abusé du pouvoir d'appréciation dont elle disposait en confirmant le classement ordonné par le ministère public.</w:t>
      </w:r>
    </w:p>
    <w:p>
      <w:r>
        <w:rPr>
          <w:b/>
        </w:rPr>
        <w:t>E. 3</w:t>
      </w:r>
    </w:p>
    <w:p>
      <w:r>
        <w:t>Mal fondé, le recours doit être rejeté et 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