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258/2019 vom 25. März 2019</w:t>
      </w:r>
    </w:p>
    <w:p>
      <w:r>
        <w:t>Bundesgericht, 2019-03-25, FR</w:t>
      </w:r>
    </w:p>
    <w:p>
      <w:r>
        <w:rPr>
          <w:b/>
        </w:rPr>
        <w:t xml:space="preserve">Quelle: </w:t>
      </w:r>
      <w:r>
        <w:t>https://mcp.opencaselaw.ch/entscheid/bger_6B_258_2019</w:t>
      </w:r>
    </w:p>
    <w:p>
      <w:r>
        <w:t>FR: TF 6B 258/2019 du 25 mars 2019</w:t>
      </w:r>
    </w:p>
    <w:p>
      <w:r>
        <w:t>IT: TF 6B 258/2019 del 25 marzo 2019</w:t>
      </w:r>
    </w:p>
    <w:p>
      <w:pPr>
        <w:pStyle w:val="Heading2"/>
      </w:pPr>
      <w:r>
        <w:t>Regeste</w:t>
      </w:r>
    </w:p>
    <w:p>
      <w:r>
        <w:t>Arbitraire ; homicide par négligence | Infractions</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En l'espèce, les recourants, qui sont respectivement les parents, le conjoint et les enfants de J.________ - et donc des proches de la victime au sens de l' art. 116 al. 2 CPP -, ont participé à la procédure de dernière instance cantonale. Dans ce cadre, ils ont pris des conclusions civiles - concernant la réparation de leur tort moral -, qui ont été rejetées en raison de l'acquittement de l'intimé. Les recourants répètent ces conclusions civiles devant le Tribunal fédéral. Ils ont ainsi un intérêt juridique à l'annulation ou à la modification de la décision attaquée et sont habilités à recourir au Tribunal fédéral.</w:t>
      </w:r>
    </w:p>
    <w:p>
      <w:r>
        <w:rPr>
          <w:b/>
        </w:rPr>
        <w:t>E. 2</w:t>
      </w:r>
    </w:p>
    <w:p>
      <w:r>
        <w:t>On comprend que les recourants reprochent à la cour cantonale d'avoir apprécié les preuves et établi les faits de manière arbitraire concernant l'intention de J.________ de se suicider lors de la collision du 20 juillet 2016.</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 cour cantonale a exposé qu'il convenait de retenir, en application du principe "in dubio pro reo", que J.________ avait eu l'intention de se suicider et s'était précipitée devant le véhicule de l'intimé au moment de la collision. Pour retenir cette version des événements, l'autorité précédente s'est fondée sur divers éléments. Tout d'abord, la prénommée souffrait de troubles dépressifs et avait, le jour des faits, consulté son médecin en raison de la résurgence d'angoisses. Ce médecin avait alors contacté le psychiatre de J.________ et tous deux s'étaient entendus pour que leur patiente reprenne son traitement relatif aux angoisses et à la dépression. L'intéressée s'était ainsi vue prescrire deux anxiolytiques. Auparavant, J.________ avait été hospitalisée à la Fondation K.________ du 16 au 20 novembre 2013 en raison d'un épisode aigu. En automne 2014, elle avait à nouveau été hospitalisée à cet endroit, à cause d'une tentative de suicide au moyen de médicaments. L'intéressée avait en outre déjà fait plusieurs tentatives de suicide par le passé. La cour cantonale a ajouté que, quelques minutes avant la collision, J.________ avait consulté des sites Internet relatifs aux antidépresseurs et au suicide. De telles recherches avaient déjà été effectuées quelques jours plus tôt, le 22 juin 2016. Par ailleurs, avant de sortir de chez elle, la prénommée avait dit à son époux qu'elle allait voir son amie L.________. Elle ne s'était toutefois pas rendue chez cette dernière, mais aux abords du cimetière de I.________, endroit dépourvu d'éclairage et aux alentours duquel elle ne connaissait personne. De manière générale, à l'époque des faits, J.________ rencontrait des difficultés personnelles. Elle faisait l'objet de rumeurs dans son village, relatives à la prise de stupéfiants et à la prostitution, sujet qui était d'ailleurs apparu dans les messages échangés par celle-ci peu avant son décès. Selon la cour cantonale, les éléments mis en avant par les recourants - en particulier le fait que J.________ eût un emploi et des projets de vacances en famille - ne permettaient pas d'exclure qu'elle eu souhaité se suicider. En outre, selon les experts, la position de l'intéressée au moment du choc n'était pas incompatible avec un suicide. Enfin, depuis le lieu où elle s'était trouvée avant l'accident, J.________ n'avait pu qu'apercevoir les phares du véhicule de l'intimé et entendre le bruit de son moteur. Elle avait eu le temps de percevoir qu'une voiture approchait dans sa direction avant l'impact, de sorte qu'on ne comprenait pas qu'elle n'eût pas agi en conséquence pour l'éviter, en restant, le cas échéant en se plaçant par exemple sur le côté de la route.</w:t>
      </w:r>
    </w:p>
    <w:p>
      <w:r>
        <w:rPr>
          <w:b/>
        </w:rPr>
        <w:t>E. 2.3</w:t>
      </w:r>
    </w:p>
    <w:p>
      <w:r>
        <w:t>Les recourants développent une argumentation purement appellatoire et, partant, irrecevable, par laquelle ils rediscutent librement l'état de fait de la cour cantonale, sans démontrer en quoi celui-ci serait arbitraire. Il en va ainsi lorsqu'ils soutiennent que J.________ n'aurait, selon eux, pas eu l'intention de se supprimer, que ses tentatives de suicide passées auraient constitué "de simples appels à l'aide", ou encore que la consultation de sites sur le suicide immédiatement avant la collision ou la promenade dans un lieu dépourvu d'éclairage et en bordure d'une route cantonale ne pourraient être interprétés comme des indices pointant l'existence d'une volonté suicidaire. Les recourants ne démontrent nullement en quoi la cour cantonale aurait tiré des constatations insoutenables des divers éléments évoqués ni en quoi elle aurait versé dans l'arbitraire en retenant que J.________ avait eu l'intention de mourir lors des faits. Les recourants se prévalent ensuite des lésions constatées sur J.________, en affirmant que la prénommée n'aurait pu être percutée que de dos et que cela rendrait l'hypothèse d'un suicide "totalement absurde et farfelue". Dès lors que les experts médico-légaux ont reconnu qu'il leur était impossible de déterminer la direction prise par la prénommée au moment du choc - ce que les recourants ne contestent pas -, il n'était pourtant nullement insoutenable, de la part de l'autorité précédente, de retenir que les lésions étaient compatibles avec un suicide, malgré les affirmations appellatoires des recourants selon lesquelles, dans une telle hypothèse, J.________ "aurait été heurtée sur le côté gauche, respectivement de face, mais en aucun cas de dos". Compte tenu de ce qui précède, la cour cantonale pouvait, sans arbitraire, retenir que J.________ s'était précipitée devant le véhicule concerné avec l'intention de se supprimer. Le grief doit être rejeté dans la mesure où il est recevable.</w:t>
      </w:r>
    </w:p>
    <w:p>
      <w:r>
        <w:rPr>
          <w:b/>
        </w:rPr>
        <w:t>E. 3</w:t>
      </w:r>
    </w:p>
    <w:p>
      <w:r>
        <w:t>Les recourants font encore grief à la cour cantonale d'avoir libéré l'intimé du chef de prévention d'homicide par négligence en considérant que le comportement de J.________ avait rompu le lien de causalité adéquat entre la conduite de l'intéressé et la collision mortelle.</w:t>
      </w:r>
    </w:p>
    <w:p>
      <w:r>
        <w:rPr>
          <w:b/>
        </w:rPr>
        <w:t>E. 3.1</w:t>
      </w:r>
    </w:p>
    <w:p>
      <w:r>
        <w:t>Aux termes de l' art. 117 CP , celui qui, par négligence, aura causé la mort d'une personne sera puni d'une peine privative de liberté de trois ans au plus ou d'une peine pécuniaire. Une condamnation pour homicide par négligence au sens de l' art. 117 CP suppose la réalisation de trois éléments constitutifs, à savoir le décès d'une personne, une négligence, ainsi qu'un rapport de causalité naturelle et adéquate entre les deux premiers éléments ( ATF 122 IV 145 consid. 3 p. 147; cf. plus récemment l'arrêt 6B_896/2018 du 7 février 2019 consid. 3.2). Les concepts de causalité naturelle et adéquate ont été rappelés récemment aux ATF 144 IV 285 consid. 2.8.2 p. 292 et surtout 143 III 242 consid. 3.7 p. 249 s. et ont notamment été précisés aux ATF 133 IV 158 consid. 6.1 p. 167 s. et 131 IV 145 consid. 5 p. 147 ss, auxquels on peut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cf. aussi ATF 143 III 242 consid. 3.7 p. 250).</w:t>
      </w:r>
    </w:p>
    <w:p>
      <w:r>
        <w:rPr>
          <w:b/>
        </w:rPr>
        <w:t>E. 3.2</w:t>
      </w:r>
    </w:p>
    <w:p>
      <w:r>
        <w:t>La cour cantonale a indiqué que l'intimé avait violé son devoir de prudence, puisque, au moment de la collision, il était inattentif. L'intéressé n'avait pu éviter J.________ et avait heurté cette dernière, causant son décès. Le lien de causalité naturelle entre la négligence et le décès ne pouvait donc être nié. Cependant, il convenait de retenir que la prénommée s'était élancée en direction du véhicule dans le but de se tuer. Par ce comportement, J.________ avait rompu le lien de causalité adéquate entre la violation du devoir de prudence de l'intimé et son décès. En effet, l'intimé, qui circulait en dehors d'une localité sur un tronçon non éclairé, n'avait pas à compter avec le fait que J.________, masquée par le muret et la clôture métallique ceignant le cimetière de I.________, se précipiterait soudainement sur la chaussée.</w:t>
      </w:r>
    </w:p>
    <w:p>
      <w:r>
        <w:rPr>
          <w:b/>
        </w:rPr>
        <w:t>E. 3.3</w:t>
      </w:r>
    </w:p>
    <w:p>
      <w:r>
        <w:t>Le raisonnement de la cour cantonale ne prête pas le flanc à la critique. Sur la base de son état de fait, établi sans arbitraire (cf. consid. 2.3 supra), il apparaît en effet que le comportement de J.________, qui s'est précipitée devant le véhicule avec l'intention de se faire percuter, a constitué la cause la plus immédiate de la collision survenue. Ledit comportement, aussi extraordinaire qu'inattendu, relègue en l'occurrence à l'arrière-plan le comportement de l'intimé, lequel ne vouait pas toute son attention à la circulation et avait consommé de l'alcool - dans des proportions dont il ne ressort cependant pas du jugement attaqué qu'elles auraient sensiblement altéré ses facultés - alors que cela lui était interdit. C'est donc bien le surgissement volontaire de J.________ devant le véhicule de l'intimé - et non l'attitude de ce dernier au volant - qui constitue la cause première du choc et, par conséquent, du décès survenu. Un lien de causalité adéquate entre la négligence de l'intimé et le décès de la prénommée aurait ainsi de toute manière été rompu. Ainsi, la cour cantonale n'a pas violé le droit fédéral en libérant l'intimé du chef de prévention d'homicide par négligence. Le grief doit être rejeté.</w:t>
      </w:r>
    </w:p>
    <w:p>
      <w:r>
        <w:rPr>
          <w:b/>
        </w:rPr>
        <w:t>E. 4</w:t>
      </w:r>
    </w:p>
    <w:p>
      <w:r>
        <w:t>Le recours doit être rejeté dans la mesure où il est recevable. Les recourants, qui succombent, supportent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