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6B_258/2017 vom 1. Dezember 2017</w:t>
      </w:r>
    </w:p>
    <w:p>
      <w:r>
        <w:t>Bundesgericht, 2017-12-01, DE</w:t>
      </w:r>
    </w:p>
    <w:p>
      <w:r>
        <w:rPr>
          <w:b/>
        </w:rPr>
        <w:t xml:space="preserve">Quelle: </w:t>
      </w:r>
      <w:r>
        <w:t>https://mcp.opencaselaw.ch/entscheid/bger_6B_258_2017</w:t>
      </w:r>
    </w:p>
    <w:p>
      <w:r>
        <w:t>FR: TF 6B_258/2017 du 1 décembre 2017</w:t>
      </w:r>
    </w:p>
    <w:p>
      <w:r>
        <w:t>IT: TF 6B_258/2017 del 1 dicembre 2017</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Der Beschwerdeführer machte am 10. September 2014 unter anderem eine Zivilforderung in der Höhe von Fr. 47'500.-- geltend. Er führt aus, dass dies dem Verkehrswert der ihm entwendeten Uhr entspreche; in diesem Umfang verlange er Schadenersatz. Der Beschwerdeführer ist somit legitimiert, den Entscheid der Vorinstanz vor dem Bundesgericht anzufechten.</w:t>
      </w:r>
    </w:p>
    <w:p>
      <w:r>
        <w:rPr>
          <w:b/>
        </w:rPr>
        <w:t>E. 2.1</w:t>
      </w:r>
    </w:p>
    <w:p>
      <w:r>
        <w:t>Der Beschwerdeführer rügt zusammengefasst, dass die Voraussetzungen für eine Einstellung des Verfahrens nicht gegeben seien. Es bestehe ein erheblicher Verdacht, dass sich die Beschwerdegegnerin 2 des Diebstahls schuldig gemacht habe.</w:t>
      </w:r>
    </w:p>
    <w:p>
      <w:r>
        <w:rPr>
          <w:b/>
        </w:rPr>
        <w:t>E. 2.2</w:t>
      </w:r>
    </w:p>
    <w:p>
      <w:r>
        <w:t>Die Staatsanwaltschaft verfügt die Einstellung des Verfahrens unter anderem, wenn kein Tatverdacht erhärtet ist, der eine Anklage rechtfertigt ( Art. 319 Abs. 1 lit. a StPO ) oder kein Straftatbestand erfüllt ist ( Art. 319 Abs. 1 lit. b StPO ).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Bei der Beurteilung dieser Frage verfügen die Staatsanwaltschaft und die Vorinstanz über einen gewissen Spielraum, den das Bundesgericht mit Zurückhaltung überprüft.</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2.2.1 und 2.2.2 mit Hinweisen).</w:t>
      </w:r>
    </w:p>
    <w:p>
      <w:r>
        <w:rPr>
          <w:b/>
        </w:rPr>
        <w:t>E. 2.3</w:t>
      </w:r>
    </w:p>
    <w:p>
      <w:r>
        <w:t>Die Vorinstanz erwägt insbesondere, es sei abwegig anzunehmen, dass die Beschwerdegegnerin 2 Fr. 47'500.-- aufgewendet haben soll, um eine neue Uhr zu kaufen und somit den angeblichen Diebstahl zu vertuschen. Auch sei aufgrund ihrer angespannten finanziellen Situation nicht nachvollziehbar, dass sie Fr. 9'000.-- geleistet haben soll, um dem Beschwerdeführer den Kauf der ersten, angeblich gestohlenen Uhr zu ermöglichen. Im Ergebnis hält die Vorinstanz fest, dass die Aussagen der Beteiligten diametral auseinandergehen würden und sich nicht eruieren lasse, was genau vorgefallen sei, respektive, wer Recht habe. Es sei auch nicht ersichtlich, welche weiteren Beweismittel allenfalls diesbezüglich Klarheit bringen könnten. Damit könne der Beschwerdegegnerin 2 nicht mit hinreichender Wahrscheinlichkeit vorgeworfen werden, sie habe das Eigentum des Beschwerdeführers unrechtmässig verletzt. Es fehle daher an einem hineinreichenden Tatverdacht, weshalb die Staatsanwaltschaft das Verfahren zu Recht eingestellt habe (Entscheid, S. 9).</w:t>
      </w:r>
    </w:p>
    <w:p>
      <w:r>
        <w:t>Dass die Aussagen der Beteiligten diametral auseinandergehen, genügt alleine nicht für eine Einstellung des Verfahrens. Es wäre vielmehr Aufgabe des Sachgerichts, diese Aussagen eingehend zu würdigen. Auch lassen die weiteren, von der Vorinstanz erwähnten Umstände nicht den Schluss zu, dass eine Verurteilung von vornherein unwahrscheinlich wäre. Die Rüge ist begründet.</w:t>
      </w:r>
    </w:p>
    <w:p>
      <w:r>
        <w:rPr>
          <w:b/>
        </w:rPr>
        <w:t>E. 3</w:t>
      </w:r>
    </w:p>
    <w:p>
      <w:r>
        <w:t>Die Beschwerde ist gutzuheissen. Die Sache ist an die Staatsanwaltschaft zur Weiterführung der Strafuntersuchung und an die Vorinstanz zur Neuregelung der Kosten- und Entschädigungsfolgen zurückzuweisen.</w:t>
      </w:r>
    </w:p>
    <w:p>
      <w:r>
        <w:t>Für das bundesgerichtliche Verfahren sind die Kosten der unterliegenden Partei, jedoch nicht dem Kanton, aufzuerlegen ( Art. 66 Abs. 1 und 4 BGG ). Der Kanton Schaffhausen und die Beschwerdegegnerin 2 haben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