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6B_256/2020 vom 24. März 2020</w:t>
      </w:r>
    </w:p>
    <w:p>
      <w:r>
        <w:t>Bundesgericht, 2020-03-24, FR</w:t>
      </w:r>
    </w:p>
    <w:p>
      <w:r>
        <w:rPr>
          <w:b/>
        </w:rPr>
        <w:t xml:space="preserve">Quelle: </w:t>
      </w:r>
      <w:r>
        <w:t>https://mcp.opencaselaw.ch/entscheid/bger_6B_256_2020</w:t>
      </w:r>
    </w:p>
    <w:p>
      <w:r>
        <w:t>FR: TF 6B_256/2020 du 24 mars 2020</w:t>
      </w:r>
    </w:p>
    <w:p>
      <w:r>
        <w:t>IT: TF 6B_256/2020 del 24 marzo 2020</w:t>
      </w:r>
    </w:p>
    <w:p>
      <w:pPr>
        <w:pStyle w:val="Heading2"/>
      </w:pPr>
      <w:r>
        <w:t>Erwägungen</w:t>
      </w:r>
    </w:p>
    <w:p>
      <w:r>
        <w:rPr>
          <w:b/>
        </w:rPr>
        <w:t>E. 1</w:t>
      </w:r>
    </w:p>
    <w:p>
      <w:r>
        <w:t>Par jugement du 6 décembre 2018, le Tribunal de police de la République et canton de Genève a condamné A.________ pour escroquerie à une peine pécuniaire de 180 jours-amende à 30 fr. le jour, sous déduction de deux jours-amende correspondant à deux jours de détention avant jugement, avec sursis et délai d'épreuve de trois ans. Il l'a acquittée de faux dans les titres. Pour le surplus, il a statué sur les prétentions civiles des parties plaignantes, prononcé une créance compensatrice, maintenu et levé différents séquestres, débouté A.________ de ses conclusions en indemnisation pour ses frais de défense, l'a condamnée aux frais de la procédure et au paiement de différentes indemnités en faveur des parties plaignantes pour leurs frais d'avocat.</w:t>
      </w:r>
    </w:p>
    <w:p>
      <w:r>
        <w:t>Par arrêt du 6 décembre 2019, la Chambre pénale d'appel et de révision de la Cour de justice de la République et canton de Genève a partiellement admis les appels formés par A.________ et l'une des parties plaignantes. Elle a ainsi condamné A.________ pour abus de confiance à une peine pécuniaire de 180 jours-amende à 30 fr. le jour, sous déduction de deux jours-amende correspondant à deux jours de détention avant jugement, avec sursis et délai d'épreuve de trois ans et l'a acquittée de faux dans les titres et pour une partie des faits reprochés. Elle a en outre alloué une indemnité à A.________ pour ses frais de défense de première instance. Pour le surplus, elle a partiellement modifié le jugement de première instance sur la question des prétentions civiles allouées aux parties plaignantes, de la créance compensatrice et du montant des indemnités en faveur des parties plaignantes pour leurs frais d'avocat.</w:t>
      </w:r>
    </w:p>
    <w:p>
      <w:r>
        <w:t>A.________ forme un " appel devant le Tribunal fédéral " contre l'arrêt précité.</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recourante ne formule aucune conclusion. En outre, son argumentation consiste uniquement en une vaste rediscussion des faits et des éléments de preuve. Ce faisant, elle ne fait qu'opposer sa propre appréciation à celle de la cour cantonale, sans démontrer en quoi celle-ci serait arbitraire. Purement appellatoires, ses critiques sont irrecevables. Pour le surplus, la recourante ne démontre pas en quoi la cour cantonale aurait violé le droit. Elle ne présente ainsi aucun grief répondant aux exigences de motivation des art. 42 al. 2 et 106 al. 2 LTF.</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