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256/2018 vom 13. August 2018</w:t>
      </w:r>
    </w:p>
    <w:p>
      <w:r>
        <w:t>Bundesgericht, 2018-08-13, FR</w:t>
      </w:r>
    </w:p>
    <w:p>
      <w:r>
        <w:rPr>
          <w:b/>
        </w:rPr>
        <w:t xml:space="preserve">Quelle: </w:t>
      </w:r>
      <w:r>
        <w:t>https://mcp.opencaselaw.ch/entscheid/bger_6B_256_2018</w:t>
      </w:r>
    </w:p>
    <w:p>
      <w:r>
        <w:t>FR: TF 6B 256/2018 du 13 août 2018</w:t>
      </w:r>
    </w:p>
    <w:p>
      <w:r>
        <w:t>IT: TF 6B 256/2018 del 13 agosto 2018</w:t>
      </w:r>
    </w:p>
    <w:p>
      <w:pPr>
        <w:pStyle w:val="Heading2"/>
      </w:pPr>
      <w:r>
        <w:t>Regeste</w:t>
      </w:r>
    </w:p>
    <w:p>
      <w:r>
        <w:t>Décision de non-entrée en matière (dommages à la propriété, contrainte); arbitraire etc. | Procédure pénale</w:t>
      </w:r>
    </w:p>
    <w:p>
      <w:pPr>
        <w:pStyle w:val="Heading2"/>
      </w:pPr>
      <w:r>
        <w:t>Erwägungen</w:t>
      </w:r>
    </w:p>
    <w:p>
      <w:r>
        <w:rPr>
          <w:b/>
        </w:rPr>
        <w:t>E. 1</w:t>
      </w:r>
    </w:p>
    <w:p>
      <w:r>
        <w:t>La recourante produit, à l'appui de son mémoire de recours, un bordereau de pièces. Les documents qui ne figureraient pas au dossier de la cause sont des pièces nouvelles et, partant, irrecevables (cf. art. 99 al. 1 LTF ). Il en va en particulier ainsi de l'attestation technique établie le 26 février 2018 par D.________ SA (cf. bordereau de pièces de la recourante, pièce n° 5).</w:t>
      </w:r>
    </w:p>
    <w:p>
      <w:r>
        <w:rPr>
          <w:b/>
        </w:rPr>
        <w:t>E. 2.1</w:t>
      </w:r>
    </w:p>
    <w:p>
      <w:r>
        <w:t>Selon l'art. 81 al. 1 let. a et b ch. 5 LTF, la partie plaignante qui a pris part à la procédure devant l'autorité précédente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rPr>
          <w:b/>
        </w:rPr>
        <w:t>E. 2.2</w:t>
      </w:r>
    </w:p>
    <w:p>
      <w:r>
        <w:t>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Si le dommage n'est motivé qu'en ce qui concerne l'une des infractions, le recours est irrecevable pour les autres infractions (arrêts 6B_1350/2017 du 26 avril 2018 consid. 1.1; 6B_874/2017 du 18 avril 2018 consid. 2.2.1; 6B_791/2017 du 8 mars 2018 consid. 1.1).</w:t>
      </w:r>
    </w:p>
    <w:p>
      <w:r>
        <w:rPr>
          <w:b/>
        </w:rPr>
        <w:t>E. 2.3</w:t>
      </w:r>
    </w:p>
    <w:p>
      <w:r>
        <w:t>En l'espèce, la recourante indique que A.________ SA a sectionné et obturé les colonnes de chute situées au niveau du 4 e étage, empêchant l'évacuation des eaux usées issues de ses parties exclusives, dont les travaux d'aménagement en logement sont désormais terminés. Faute d'accès aux conduites sanitaires, la recourante explique que ses appartements sont inutilisables que ce soit pour un usage propre, pour la location ou pour la vente, ce qui entraîne selon elle un dommage correspondant à la valeur locative des appartements, estimée à 10'200 fr. par mois. On comprend de la motivation de la recourante que celle-ci entend se prévaloir de l'intégralité des prétentions civiles précitées tant en relation avec l'infraction de dommages à la propriété ( art. 144 CP ) qu'avec celle de contrainte ( art. 181 CP ).</w:t>
      </w:r>
    </w:p>
    <w:p>
      <w:r>
        <w:rPr>
          <w:b/>
        </w:rPr>
        <w:t>E. 2.4.1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et les références citées). Les droits touchés sont les biens juridiques individuels tels que la vie, l'intégrité corporelle, la propriété ou l'honneur (Message du 21 décembre 2005 relatif à l'unification du droit de la procédure pénale, FF 2006 1148 ch. 2.3.3.1). Pour être directement touché, le lésé doit subir une atteinte en rapport de causalité directe avec l'infraction poursuivie, ce qui exclut les dommages par ricochet (arrêts 6B_671/2014 du 22 décembre 2017 consid. 1.1; 6B_549/2013 du 24 février 2014 consid. 2.1 et les références citées).</w:t>
      </w:r>
    </w:p>
    <w:p>
      <w:r>
        <w:rPr>
          <w:b/>
        </w:rPr>
        <w:t>E. 2.4.2</w:t>
      </w:r>
    </w:p>
    <w:p>
      <w:r>
        <w:t>L' art. 144 al. 1 CP punit celui qui aura endommagé, détruit ou mis hors d'usage une chose appartenant à autrui ou frappée d'un droit d'usage ou d'usufruit au bénéfice d'autrui. L'objet de l'infraction est une chose, à savoir un objet corporel, mobilier ou immobilier, appartenant à autrui, même si l'auteur est copropriétaire (arrêt 6B_77/2017 du 16 janvier 2018 consid. 2.1 et les références citées). Lorsqu'une infraction contre le patrimoine - soit une infraction décrite dans le Titre 2 du Livre 2 du Code pénal - est réalisée à l'encontre d'une société anonyme, celle-ci subit un dommage et peut donc prétendre à la qualité de lésée, à l'exclusion notamment de ses actionnaires ( ATF 140 IV 155 consid. 3.3.1 p. 158; arrêt 6B_1315/2015 du 9 août 2016 consid. 1.2.1).</w:t>
      </w:r>
    </w:p>
    <w:p>
      <w:r>
        <w:rPr>
          <w:b/>
        </w:rPr>
        <w:t>E. 2.4.3</w:t>
      </w:r>
    </w:p>
    <w:p>
      <w:r>
        <w:t>L' art. 181 CP sanctionne celui qui, en usant de violence envers une personne ou en la menaçant d'un dommage sérieux, ou en l'entravant de quelque autre manière dans sa liberté d'action, l'aura obligée à faire, à ne pas faire ou à laisser faire un acte. Une personne morale qui est atteinte dans la libre formation ou le libre exercice de la volonté - biens juridiquement protégés par l' art. 181 CP ( ATF 137 IV 326 consid. 3.6 p. 332; 134 IV 216 consid. 4.4.3 p. 221) - doit être considérée comme lésée par l'infraction de contrainte et peut ainsi revêtir la qualité de partie plaignante si elle a expressément déclaré vouloir participer à la procédure pénale comme demandeur au pénal ou au civil ( ATF 141 IV 1 consid. 3.3.2 p. 8 s.).</w:t>
      </w:r>
    </w:p>
    <w:p>
      <w:r>
        <w:rPr>
          <w:b/>
        </w:rPr>
        <w:t>E. 2.5</w:t>
      </w:r>
    </w:p>
    <w:p>
      <w:r>
        <w:t>Il ressort tant de l'arrêt entrepris que des explications de la recourante (cf. arrêt entrepris, p. 2 ss; mémoire de recours, ch. 21 ss) qu'à la suite d'une décision prise par la communauté des copropriétaires par étages, les anciennes colonnes en plomb de l'immeuble avaient été mises hors d'usage et remplacées, pour des raisons de " mise en conformité aux normes ", par de nouvelles colonnes en fonte. L'installation de ces dernières avait toutefois été interrompue au niveau du 4 e étage, à la limite entre les parties exclusives de A.________ SA et de la recourante. Les nouvelles conduites, qui étaient installées à côté des anciennes, y avaient été obturées au moyen de bouchons en plastique, de sorte qu'elles n'avaient pas été raccordées aux étages supérieurs, dont l'aménagement en logements faisait l'objet de multiples conflits entre les copropriétaires. La recourante explique que les travaux d'aménagement de ses appartements sont désormais terminés, sous réserve du raccordement au système d'évacuation des eaux usées. Elle ne prétend toutefois pas que ces travaux étaient déjà terminés au moment du remplacement des conduites, qu'elle affirme avoir constaté à la fin de l'année 2015. La recourante n'établit dès lors pas avoir subi, du fait de la mise hors d'usage des anciennes colonnes en plomb en raison de leur non-conformité aux prescriptions administratives, un dommage en lien avec l'impossibilité de mettre ses appartements en location. Par ailleurs, l'intéressée, qui dispose d'un droit exclusif sur les étages supérieurs de l'immeuble, n'expose pas en quoi elle aurait concrètement été empêchée de procéder elle-même au raccordement des nouvelles conduites en ôtant les bouchons en plastique les obturant à la limite de ses parties exclusives. Il ne va en effet pas de soi que c'est à un tiers - en l'occurrence A.________ SA - qu'il revient de procéder à l'installation et au raccordement des nouvelles conduites à la part de copropriété de la recourante ainsi que d'assumer les frais liés à ces travaux. L'intéressée n'apporte aucune explication quant aux obligations des copropriétaires à cet égard, qui pourraient éventuellement être déduites d'une convention entre elles, d'une décision prise par la communauté des copropriétaires, voire d'un règlement d'administration et d'utilisation (cf. art. 712g ss CC ). Cela étant, la recourante n'explique pas suffisamment en quoi le dommage allégué serait consécutif d'une atteinte à son patrimoine ou à sa liberté d'action. Elle ne parvient pas à établir sa qualité de lésée et ne dispose partant pas de la qualité pour recourir au regard de l'art. 81 al. 1 let. a et b ch. 5 LTF.</w:t>
      </w:r>
    </w:p>
    <w:p>
      <w:r>
        <w:rPr>
          <w:b/>
        </w:rPr>
        <w:t>E. 3</w:t>
      </w:r>
    </w:p>
    <w:p>
      <w:r>
        <w:t>Il résulte de ce qui précède que le recours est irrecevable. La recourante, qui succombe, supportera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