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6B_256/2009 vom 24. Juli 2009</w:t>
      </w:r>
    </w:p>
    <w:p>
      <w:r>
        <w:t>Bundesgericht, 2009-07-24, FR</w:t>
      </w:r>
    </w:p>
    <w:p>
      <w:r>
        <w:rPr>
          <w:b/>
        </w:rPr>
        <w:t xml:space="preserve">Quelle: </w:t>
      </w:r>
      <w:r>
        <w:t>https://mcp.opencaselaw.ch/entscheid/bger_6B_256_2009</w:t>
      </w:r>
    </w:p>
    <w:p>
      <w:r>
        <w:t>FR: TF 6B_256/2009 du 24 juillet 2009</w:t>
      </w:r>
    </w:p>
    <w:p>
      <w:r>
        <w:t>IT: TF 6B_256/2009 del 24 luglio 2009</w:t>
      </w:r>
    </w:p>
    <w:p>
      <w:pPr>
        <w:pStyle w:val="Heading2"/>
      </w:pPr>
      <w:r>
        <w:t>Erwägungen</w:t>
      </w:r>
    </w:p>
    <w:p>
      <w:r>
        <w:rPr>
          <w:b/>
        </w:rPr>
        <w:t>E. 1</w:t>
      </w:r>
    </w:p>
    <w:p>
      <w:r>
        <w:t>Dans un premier grief, le recourant conteste le montant de l'indemnité pour tort moral qui lui a été allouée et qu'il estime manifestement trop basse.</w:t>
      </w:r>
    </w:p>
    <w:p>
      <w:r>
        <w:rPr>
          <w:b/>
        </w:rPr>
        <w:t>E. 1.1</w:t>
      </w:r>
    </w:p>
    <w:p>
      <w:r>
        <w:t>L' art. 49 al. 1 CO dispose que celui qui subit une atteinte illicite à sa personnalité a droit à une somme d'argent à titre de réparation morale, pour autant que la gravité de l'atteinte le justifie et que l'auteur ne lui ait pas donné satisfaction autrement.</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704/705; 129 IV 22 consid. 7.2 p. 36).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 ATF 129 IV 22 consid. 7.2 p. 36/37 et les arrêts cités).</w:t>
      </w:r>
    </w:p>
    <w:p>
      <w:r>
        <w:t>La fixation de l'indemnité pour tort moral est une question d'application du droit fédéral, que le Tribunal fédéral examine donc librement. Dans la mesure où celle-ci relève pour une part importante de l'appréciation des circonstances, il fait toutefois preuve de retenue. Il n'intervient que si l'autorité cantonale s'est fondée sur des critères étrangers à la disposition applicable, a omis de tenir compte d'éléments pertinents ou a fixé une indemnité inéquitable parce que manifestement trop élevée ou trop faible. Comme il s'agit d'une question d'équité, et non d'une question d'appréciation au sens strict, qui limiterait sa cognition à l'abus ou à l'excès du pouvoir d'appréciation, le Tribunal fédéral examine toutefois librement si la somme allouée tient suffisamment compte de la gravité de l'atteinte ou si elle est disproportionnée par rapport à l'intensité des souffrances morales causées à la victime ( ATF 130 III 699 consid. 5.1 p. 705; 129 IV 22 consid. 7.2 p. 37; 125 III 269 consid. 2a p. 273 s.).</w:t>
      </w:r>
    </w:p>
    <w:p>
      <w:r>
        <w:t>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 ATF 130 III 699 consid. 5.1 p. 705; 125 III 269 consid. 2a p. 274).</w:t>
      </w:r>
    </w:p>
    <w:p>
      <w:r>
        <w:rPr>
          <w:b/>
        </w:rPr>
        <w:t>E. 1.2</w:t>
      </w:r>
    </w:p>
    <w:p>
      <w:r>
        <w:t>Selon la juridiction cantonale, le recourant, rentier AI, se déclarant épileptique et atteint de sclérose en plaques, a souffert d'un stress post-traumatique. Choqué par les événements, il a ainsi rapporté à son médecin traitant des troubles du sommeil, des cauchemars et des angoisses. Suivi par un psychologue, il présente une évolution favorable et le stress traumatique est en voie de rémission. Pour tenir compte de ces éléments, soit du traumatisme psychique subi qui s'est greffé sur un état de santé déjà détérioré et fragilisé, les juges cantonaux lui ont alloué 2500 fr. à titre d'indemnité pour tort moral.</w:t>
      </w:r>
    </w:p>
    <w:p>
      <w:r>
        <w:t>Pour le recourant, c'est à tort que la juridiction cantonale a alloué la même indemnité aux deux parties civiles qui ont pris des conclusions en réparation, dès lors que l'état de santé de l'une et l'autre, ainsi que les conséquences sur celui-ci, sont différents. D'autre part, le montant alloué est manifestement trop bas comme le montre, à titre d'exemple, un jugement d'un tribunal zurichois rendu en 2004.</w:t>
      </w:r>
    </w:p>
    <w:p>
      <w:r>
        <w:rPr>
          <w:b/>
        </w:rPr>
        <w:t>E. 1.3</w:t>
      </w:r>
    </w:p>
    <w:p>
      <w:r>
        <w:t>Ces reproches ne sont pas fondés. Aussi bien B.________ que le recourant ont souffert de stress post-traumatique sous forme d'angoisse et de troubles du sommeil; l'un et l'autre ont dû de ce fait être pris en charge médicalement. A la suite de ces traitements, leurs symptômes ont été en voie de rémission après quelques semaines, même si, dans le cas du recourant, cela s'est greffé sur un état de santé déjà détérioré. D'un autre côté, l'intensité de la menace a été nettement plus grande pour B.________, dès lors que A.________ lui a appuyé le canon de son arme chargée directement sur la poitrine. Dans ces conditions, l'allocation de montants identiques par la juridiction cantonale n'apparaît pas critiquable.</w:t>
      </w:r>
    </w:p>
    <w:p>
      <w:r>
        <w:t>Par ailleurs, et comme on l'a vu ci-dessus (cf. consid. 1.1), si la comparaison avec des cas similaires peut, suivant les circonstances, constituer un élément d'orientation utile, il n'en est évidemment rien avec un jugement d'une instance zurichoise, inconnu du Tribunal fédéral. Reste en revanche que la comparaison peut être faite avec une cause jugée récemment par la cour de céans (arrêt S. du 24 avril 2008, 6B-135/2008). Dans ce cas, l'auteur avait saisi par derrière la caissière d'un magasin et placé le tranchant de la lame d'un couteau de poche sur sa gorge, lui criant de lui remettre la caisse. La victime avait été profondément marquée par l'agression, dans l'incapacité de travailler plus de sept mois encore après les faits et souffrant toujours de stress post-traumatique ainsi que de dépression sévère. Sur recours de l'auteur, le Tribunal fédéral avait réduit de 10'000 fr. à 6000 fr. l'indemnité pour tort moral.</w:t>
      </w:r>
    </w:p>
    <w:p>
      <w:r>
        <w:t>Même avec la prudence qui s'impose en pareil cas, on peut en inférer que l'indemnité pour tort moral allouée au recourant n'est pas inéquitable ni manifestement trop basse. Au demeurant, les juges cantonaux ont pris en compte correctement les éléments pertinents dont ils disposaient pour la fixer, si bien qu'il ne se justifie pas, dans le cadre de cet examen, de la corriger.</w:t>
      </w:r>
    </w:p>
    <w:p>
      <w:r>
        <w:rPr>
          <w:b/>
        </w:rPr>
        <w:t>E. 2</w:t>
      </w:r>
    </w:p>
    <w:p>
      <w:r>
        <w:t>Dans un deuxième moyen, le recourant critique le montant des dépens alloués à son conseil d'office. Il se plaint de la violation de son droit d'être entendu, vu l'absence de toute motivation, ainsi que d'arbitraire dans l'appréciation de cette indemnité.</w:t>
      </w:r>
    </w:p>
    <w:p>
      <w:r>
        <w:rPr>
          <w:b/>
        </w:rPr>
        <w:t>E. 2.1</w:t>
      </w:r>
    </w:p>
    <w:p>
      <w:r>
        <w:t>Selon l' art. 81 al. 1 let. b LTF , a qualité pour former un recours en matière pénale quiconque a un intérêt juridique à l'annulation ou à la modification de la décision attaquée. L'intérêt juridique constitue la condition matérielle de la qualité pour recourir. Un simple intérêt de fait ne suffit pas ( ATF 133 IV 124 consid. 1.2), l'intéressé devant au surplus être personnellement touché par la décision.</w:t>
      </w:r>
    </w:p>
    <w:p>
      <w:r>
        <w:t>L'avocat d'office accomplit une tâche étatique régie par le droit public cantonal. Lors de sa désignation, il s'établit, entre l'avocat et l'Etat, un rapport juridique spécial en vertu duquel l'avocat a contre l'Etat une prétention de droit public à être rétribué dans le cadre des prescriptions cantonales applicables. L'avocat d'office a alors droit au remboursement intégral de ses débours ainsi qu'à une indemnité s'apparentant aux honoraires perçus par le mandataire plaidant aux frais de son client. En revanche, il ne peut pas se faire rémunérer par la partie assistée. Il n'est en particulier pas autorisé à se faire payer une indemnité complémentaire à celle qu'il reçoit de l'Etat et un paiement par la partie assistée est exclu même si l'indemnité allouée par l'Etat ne correspond pas à des honoraires pleins. D'ailleurs, le défenseur qui contreviendrait à ces principes serait passible de poursuites disciplinaires ( ATF 122 I 322 consid. 3b et les arrêts cités).</w:t>
      </w:r>
    </w:p>
    <w:p>
      <w:r>
        <w:rPr>
          <w:b/>
        </w:rPr>
        <w:t>E. 2.2</w:t>
      </w:r>
    </w:p>
    <w:p>
      <w:r>
        <w:t>Dans le cas d'espèce, le recourant a plaidé comme lésé et partie civile devant la juridiction cantonale au bénéfice de l'assistance judiciaire. Celle-ci a fixé l'indemnité due par l'Etat à l'avocat d'office qui n'est pas autorisé à faire valoir des prétentions à son encontre du fait de son activité. Par conséquent, comme il n'est pas concerné par le montant de l'indemnité, son recours est irrecevable, faute d'un intérêt juridique.</w:t>
      </w:r>
    </w:p>
    <w:p>
      <w:r>
        <w:rPr>
          <w:b/>
        </w:rPr>
        <w:t>E. 3</w:t>
      </w:r>
    </w:p>
    <w:p>
      <w:r>
        <w:t>Dans la mesure de sa recevabilité, le recours était d'emblée dénué de chances de succès, si bien que l'assistance judiciaire doit être refusée ( art. 64 al. 1 LTF ). Le recourant succombe. Il supporte les frais de la procédure qui peuvent être réduits pour tenir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