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6B_255/2025 vom 21. März 2025</w:t>
      </w:r>
    </w:p>
    <w:p>
      <w:r>
        <w:t>Bundesgericht, 2025-03-21, FR</w:t>
      </w:r>
    </w:p>
    <w:p>
      <w:r>
        <w:rPr>
          <w:b/>
        </w:rPr>
        <w:t xml:space="preserve">Quelle: </w:t>
      </w:r>
      <w:r>
        <w:t>https://mcp.opencaselaw.ch/entscheid/bger_6B_255_2025</w:t>
      </w:r>
    </w:p>
    <w:p>
      <w:r>
        <w:t>FR: TF 6B_255/2025 du 21 mars 2025</w:t>
      </w:r>
    </w:p>
    <w:p>
      <w:r>
        <w:t>IT: TF 6B_255/2025 del 21 marzo 2025</w:t>
      </w:r>
    </w:p>
    <w:p>
      <w:pPr>
        <w:pStyle w:val="Heading2"/>
      </w:pPr>
      <w:r>
        <w:t>Erwägungen</w:t>
      </w:r>
    </w:p>
    <w:p>
      <w:r>
        <w:rPr>
          <w:b/>
        </w:rPr>
        <w:t>E. 1</w:t>
      </w:r>
    </w:p>
    <w:p>
      <w:r>
        <w:t>Par arrêt du 4 février 2025, la Chambre pénale d'appel et de révision de la Cour de justice genevoise a déclaré irrecevable la demande de révision formée par A.________ contre l'ordonnance pénale rendue le 25 avril 2022 par laquelle le ministère public a reconnu le prénommé coupable de détournement de valeurs patrimoniales mises sous main de justice pour la période du 24 août 2020 au 24 août 2021 et l'a condamné à une peine pécuniaire de 60 jours-amende à 50 fr. l'unité, avec sursis pendant trois ans, ainsi qu'à une amende de 600 francs.</w:t>
      </w:r>
    </w:p>
    <w:p>
      <w:r>
        <w:rPr>
          <w:b/>
        </w:rPr>
        <w:t>E. 2</w:t>
      </w:r>
    </w:p>
    <w:p>
      <w:r>
        <w:t>Par acte daté du 12 mars 2025, A.________ forme un recours en matière pénale au Tribunal fédéral contre l'arrêt du 4 février 2025. Il conclut au constat de la nullité "</w:t>
      </w:r>
    </w:p>
    <w:p>
      <w:r>
        <w:t>absolue " de l'ordonnance pénale du 25 avril 2022 et à l'annulation de l'arrêt querellé. Subsidiairement, il conclut au renvoi de la cause pour nouvelle décision, et, plus subsidiairement, à ce qu'il soit acheminé à prouver, par toutes voies de droit utiles, la réalité des faits exposés dans ses écritures. L'on comprend qu'il sollicite en outre le bénéfice de l'assistance judiciaire.</w:t>
      </w:r>
    </w:p>
    <w:p>
      <w:r>
        <w:rPr>
          <w:b/>
        </w:rPr>
        <w:t>E. 3</w:t>
      </w:r>
    </w:p>
    <w:p>
      <w:r>
        <w:t>Dans son mémoire adressé le dernier jour du délai de recours, le recourant requiert l'octroi d'un délai pour l'envoi d'un mémoire complémentaire, dans l'hypothèse où la motivation de son recours daté du 12 mars 2025 serait insuffisante. Une telle requête est vouée à l'échec car le délai de recours, visé par l' art. 100 al. 1 LTF , est un délai légal qui ne peut pas être prolongé ( art. 47 al. 1 LTF ). L'intéressé ne saurait dès lors se voir octroyer un tel délai pour adresser une écriture complémentaire et pallier ainsi les déficiences de son mémoire de recours.</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w:t>
      </w:r>
    </w:p>
    <w:p>
      <w:r>
        <w:t>En l'espèce, l'on cherche en vain dans les brèves écritures du recourant de griefs développés à satisfaction de droit qui exposeraient en quoi la cour cantonale aurait violé le droit fédéral en déclarant la demande de révision irrecevable. Le recourant se borne à invoquer, de manière appellatoire, notamment la nullité d'une dénonciation de l'office des poursuites, un prétendu harcèlement systématique de cet office, et des problèmes d'ordre professionnel et familial. Il se limite en outre à alléguer un déni de justice et une violation de son droit d'être entendu, aux motifs que la cour cantonale aurait tardé à statuer sur sa demande de révision et n'aurait traité que partiellement cette dernière, sans toutefois étayer de telles critiques de manière conforme aux exigences de motivation d'un recours en matière pénale (art. 42 al. 2 et 106 al. 2 LTF).</w:t>
      </w:r>
    </w:p>
    <w:p>
      <w:r>
        <w:rPr>
          <w:b/>
        </w:rPr>
        <w:t>E. 5</w:t>
      </w:r>
    </w:p>
    <w:p>
      <w:r>
        <w:t>Faute de satisfaire aux conditions de recevabilité d'un recours en matière pénale au Tribunal fédéral, le recours est manifestement irrecevable, ce qu'il convient de constater dans la procédure prévue par l' art. 108 al. 1 let. b LTF . Comme le recours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