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6B_255/2014 vom 18. März 2014</w:t>
      </w:r>
    </w:p>
    <w:p>
      <w:r>
        <w:t>Bundesgericht, 2014-03-18, DE</w:t>
      </w:r>
    </w:p>
    <w:p>
      <w:r>
        <w:rPr>
          <w:b/>
        </w:rPr>
        <w:t xml:space="preserve">Quelle: </w:t>
      </w:r>
      <w:r>
        <w:t>https://mcp.opencaselaw.ch/entscheid/bger_6B_255_2014</w:t>
      </w:r>
    </w:p>
    <w:p>
      <w:r>
        <w:t>FR: TF 6B_255/2014 du 18 mars 2014</w:t>
      </w:r>
    </w:p>
    <w:p>
      <w:r>
        <w:t>IT: TF 6B_255/2014 del 18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Urteil VB.2013.00664 vom 6. Januar 2014 wurde am 24. Januar 2014 zugestellt. Die Beschwerdefrist von Art. 100 Abs. 1 BGG lief bis zum Montag, 24. Februar 2014. Die am 13. März 2014 zur Post gegebene Beschwerde ist verspätet. Darauf ist im Verfahren nach Art. 108 BGG nicht einzutreten.</w:t>
      </w:r>
    </w:p>
    <w:p>
      <w:r>
        <w:rPr>
          <w:b/>
        </w:rPr>
        <w:t>E. 2</w:t>
      </w:r>
    </w:p>
    <w:p>
      <w:r>
        <w:t>Ausnahmsweise kann auf die Erhebung von Gerichtskosten verzichtet werden.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