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6B_253/2021 vom 20. April 2021</w:t>
      </w:r>
    </w:p>
    <w:p>
      <w:r>
        <w:t>Bundesgericht, 2021-04-20, DE</w:t>
      </w:r>
    </w:p>
    <w:p>
      <w:r>
        <w:rPr>
          <w:b/>
        </w:rPr>
        <w:t xml:space="preserve">Quelle: </w:t>
      </w:r>
      <w:r>
        <w:t>https://mcp.opencaselaw.ch/entscheid/bger_6B_253_2021</w:t>
      </w:r>
    </w:p>
    <w:p>
      <w:r>
        <w:t>FR: TF 6B_253/2021 du 20 avril 2021</w:t>
      </w:r>
    </w:p>
    <w:p>
      <w:r>
        <w:t>IT: TF 6B_253/2021 del 20 aprile 2021</w:t>
      </w:r>
    </w:p>
    <w:p>
      <w:pPr>
        <w:pStyle w:val="Heading2"/>
      </w:pPr>
      <w:r>
        <w:t>Erwägungen</w:t>
      </w:r>
    </w:p>
    <w:p>
      <w:r>
        <w:rPr>
          <w:b/>
        </w:rPr>
        <w:t>E. 1</w:t>
      </w:r>
    </w:p>
    <w:p>
      <w:r>
        <w:t>Nach einer Strafanzeige gegen einen Rechtsanwalt u.a. wegen angeblichen Betrugs nahm die Regionale Staatsanwaltschaft Bern-Mittelland die vom Beschwerdeführer angestrebte Strafuntersuchung am 11. Februar 2021 nicht an die Hand. Die dagegen eingereichte Beschwerde wies das Obergericht des Kantons Bern mit Beschluss vom 24. Februar 2021 ab. Der Beschwerdeführer wendet sich an das Bundesgericht.</w:t>
      </w:r>
    </w:p>
    <w:p>
      <w:r>
        <w:rPr>
          <w:b/>
        </w:rPr>
        <w:t>E. 2</w:t>
      </w:r>
    </w:p>
    <w:p>
      <w:r>
        <w:t>In einer Beschwerde an das Bundesgericht ist unter Bezugnahme auf den angefochtenen Entscheid darzulegen, inwieweit dieser gegen das Recht verstossen soll ( Art. 42 Abs. 2 BGG ). Die Bestimmungen von Art. 95 ff. BGG nennen die vor Bundesgericht zulässigen Beschwerdegründe. Hinsichtlich der Verletzung von Grundrechten besteht eine qualifizierte Rügepflicht ( Art. 106 Abs. 2 BGG ).</w:t>
      </w:r>
    </w:p>
    <w:p>
      <w:r>
        <w:t>Der Privatklägerschaft wird ein rechtlich geschütztes Interesse an der Beschwerde zuerkannt, wenn sich der angefochtene Entscheid auf die Beurteilung ihrer Zivilansprüche auswirken kann (Art. 81 Abs. 1 lit. b Ziff. 5 BGG). Sie hat im bundesgerichtlichen Beschwerdeverfahren darzulegen, aus welchen Gründen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der Legitimation strenge Anforderungen ( BGE 141 IV 1 E. 1.1 mit Hinweisen).</w:t>
      </w:r>
    </w:p>
    <w:p>
      <w:r>
        <w:rPr>
          <w:b/>
        </w:rPr>
        <w:t>E. 3</w:t>
      </w:r>
    </w:p>
    <w:p>
      <w:r>
        <w:t>Die Beschwerde genügt den Begründungsanforderungen nicht. Der Beschwerdeführer äussert sich nicht zur Legitimation und zur Frage der Zivilforderung und zeigt nicht auf, inwiefern sich der angefochtene Entscheid auf welche Forderungen auswirken könnte. Er befasst sich auch nicht mit den Erwägungen im angefochtenen Beschluss. Aus seinen Ausführungen ergibt sich nichts, was auf ein strafbares Verhalten des Rechtsanwalts hindeuten würde. Inwiefern das Strafverfahren zu Unrecht nicht an die Hand genommen worden sein soll und die Vorinstanz mit ihrem Beschluss Recht im Sinne von Art. 95 BGG verletzt haben könnte, sagt der Beschwerdeführer nicht in einer den formellen Anforderungen genügenden Weise. Seine Vorbringen (Verweigerung des rechtlichen Gehörs in Form des Verstosses gegen den Grundsatz der Rechtsgleichheit, Verstösse gegen die BV und die EMRK) erschöpfen sich in blossen unsubstanziierten Behauptungen Auf die Beschwerde ist im Verfahren nach Art. 108 BGG nicht einzutreten.</w:t>
      </w:r>
    </w:p>
    <w:p>
      <w:r>
        <w:rPr>
          <w:b/>
        </w:rPr>
        <w:t>E. 4</w:t>
      </w:r>
    </w:p>
    <w:p>
      <w:r>
        <w:t>Bei diesem Ausgang des Verfahrens trägt der Beschwerdeführer die Gerichtskosten ( Art. 66 Abs. 1 BGG ). Das Gesuch um unentgeltliche Rechtspflege ist wegen Aussichtslosigkeit abzuweisen. Seinen finanziellen Verhältnissen ist bei der Kostenfestsetzung Rechnung zu tragen ( Art. 64, Art. 65 und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