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6B_251/2016 vom 24. Mai 2016</w:t>
      </w:r>
    </w:p>
    <w:p>
      <w:r>
        <w:t>Bundesgericht, 2016-05-24, FR</w:t>
      </w:r>
    </w:p>
    <w:p>
      <w:r>
        <w:rPr>
          <w:b/>
        </w:rPr>
        <w:t xml:space="preserve">Quelle: </w:t>
      </w:r>
      <w:r>
        <w:t>https://mcp.opencaselaw.ch/entscheid/bger_6B_251_2016</w:t>
      </w:r>
    </w:p>
    <w:p>
      <w:r>
        <w:t>FR: TF 6B_251/2016 du 24 mai 2016</w:t>
      </w:r>
    </w:p>
    <w:p>
      <w:r>
        <w:t>IT: TF 6B_251/2016 del 24 maggio 2016</w:t>
      </w:r>
    </w:p>
    <w:p>
      <w:pPr>
        <w:pStyle w:val="Heading2"/>
      </w:pPr>
      <w:r>
        <w:t>Erwägungen</w:t>
      </w:r>
    </w:p>
    <w:p>
      <w:r>
        <w:rPr>
          <w:b/>
        </w:rPr>
        <w:t>E. 1</w:t>
      </w:r>
    </w:p>
    <w:p>
      <w:r>
        <w:t>La recourante invoque une violation des art. 400 al. 3 let. b et 401 al. 2 CPP.</w:t>
      </w:r>
    </w:p>
    <w:p>
      <w:r>
        <w:rPr>
          <w:b/>
        </w:rPr>
        <w:t>E. 1.1</w:t>
      </w:r>
    </w:p>
    <w:p>
      <w:r>
        <w:t>En référence à l'arrêt publié aux ATF 140 IV 92 , la cour cantonale a considéré que l'appel joint était délimité par le cadre de l'appel principal. L'appel joint concernait les conclusions civiles de la partie plaignante alors que l'appel principal remettait en cause la peine infligée au prévenu, soit des aspects sur lesquels la partie plaignante ne pouvait se prononcer (cf. art. 382 al. 2 CPP ). L'appel joint sortait ainsi du cadre de l'appel principal et devait être déclaré irrecevable.</w:t>
      </w:r>
    </w:p>
    <w:p>
      <w:r>
        <w:rPr>
          <w:b/>
        </w:rPr>
        <w:t>E. 1.2</w:t>
      </w:r>
    </w:p>
    <w:p>
      <w:r>
        <w:t>L' art. 401 CPP prévoit que l'art. 399, al. 3 et 4,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 Dans l'arrêt publié aux ATF 140 IV 92 consid. 2.3, le Tribunal fédéral a signalé que le caractère accessoire de l'appel joint implique qu'il n'a pas de portée indépendante par rapport à l'appel principal. Par son objet, l'appel joint n'est certes pas lié à l'appel principal, conformément à ce que prévoit l' art. 401 al. 2 CPP .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w:t>
      </w:r>
    </w:p>
    <w:p>
      <w:r>
        <w:t>Autrement dit, l'arrêt précité introduit une limitation par rapport aux parties concernées. Cet aspect ne joue aucun rôle dans le cas d'espèce. L'intimé a formé un appel pour contester en particulier la peine infligée. La recourante a de son côté formé un appel joint portant sur les conclusions civiles. Conformément à l' art. 401 al. 2 CPP , l'appel joint n'est pas limité à l'appel principal, la réserve exprimée par cette disposition étant sans portée en l'espèce. L'approche suivie par la cour cantonale va à l'encontre de l' art. 401 al. 2 CPP en introduisant un strict lien entre l'appel principal et l'appel joint. La mention par la cour cantonale de l' art. 382 al. 2 CPP est également sans pertinence. Cette disposition exclut la possibilité pour la partie plaignante de s'en prendre à la peine ou à la mesure prononcée. En revanche, cette disposition, sous réserve de la peine ou de la mesure, n'introduit aucune limitation par rapport à un appel joint. Conformément à l' art. 401 al. 2 CPP , lorsque le prévenu conteste la peine infligée par rapport à des infractions concernant la partie plaignante, celle-ci est habilitée à former un appel joint sur d'autres aspects du jugement attaqué, en particulier les conclusions civiles. Le recours est bien fondé. L'arrêt attaqué doit être annulé et la cause renvoyée à la cour cantonale pour reprise de la procédure.</w:t>
      </w:r>
    </w:p>
    <w:p>
      <w:r>
        <w:rPr>
          <w:b/>
        </w:rPr>
        <w:t>E. 2</w:t>
      </w:r>
    </w:p>
    <w:p>
      <w:r>
        <w:t>La recourante, qui obtient gain de cause, ne supporte pas de frais judiciaires ( art. 66 al. 1 LTF ) et peut prétendre à une indemnité de dépens à la charge de l'intimé et du canton de Genève ( art. 68 al. 1 et 2 LTF ), ce qui rend sans objet la requête d'assistance judiciaire. Pour le cas où les dépens ne pourraient pas être recouvrés auprès de l'intimé, ils seront pris en charge par la Caisse du Tribunal fédéral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