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6B_250/2025 vom 2. April 2025</w:t>
      </w:r>
    </w:p>
    <w:p>
      <w:r>
        <w:t>Bundesgericht, 2025-04-02, DE</w:t>
      </w:r>
    </w:p>
    <w:p>
      <w:r>
        <w:rPr>
          <w:b/>
        </w:rPr>
        <w:t xml:space="preserve">Quelle: </w:t>
      </w:r>
      <w:r>
        <w:t>https://mcp.opencaselaw.ch/entscheid/bger_6B_250_2025</w:t>
      </w:r>
    </w:p>
    <w:p>
      <w:r>
        <w:t>FR: TF 6B_250/2025 du 2 avril 2025</w:t>
      </w:r>
    </w:p>
    <w:p>
      <w:r>
        <w:t>IT: TF 6B_250/2025 del 2 aprile 2025</w:t>
      </w:r>
    </w:p>
    <w:p>
      <w:pPr>
        <w:pStyle w:val="Heading2"/>
      </w:pPr>
      <w:r>
        <w:t>Erwägungen</w:t>
      </w:r>
    </w:p>
    <w:p>
      <w:r>
        <w:rPr>
          <w:b/>
        </w:rPr>
        <w:t>E. 1</w:t>
      </w:r>
    </w:p>
    <w:p>
      <w:r>
        <w:t>Mit Strafbefehl vom 16. Oktober 2024 verurteilte die Staatsanwaltschaft Graubünden den Beschwerdeführer wegen Urkundenfälschung zu einer unbedingten Geldstrafe von 60 Tagessätzen zu Fr. 30.--. Der Beschwerdeführer erhob Einsprache. In der Folge lud ihn die Staatsanwaltschaft am 21. November 2024 zur Einvernahme auf den 17. Dezember 2024 vor, verbunden u.a. mit dem Hinweis, dass unentschuldigtes Fernbleiben die Fiktion des Rückzugs der Einsprache im Sinne von Art. 355 Abs. 2 StPO zur Folge habe. Da der Beschwerdeführer zur Einvernahme nicht erschien, schrieb die Staatsanwaltschaft das Verfahren zufolge Rückzugs der Einsprache mit Verfügung vom 7. Januar 2025 ab und erklärte den Strafbefehl für rechtskräftig. Eine dagegen gerichtete Beschwerde wies das Obergericht des Kantons Graubünden am 7. Februar 2025 kostenfällig ab. Der Beschwerdeführer gelangt an das Bundesgericht.</w:t>
      </w:r>
    </w:p>
    <w:p>
      <w:r>
        <w:rPr>
          <w:b/>
        </w:rPr>
        <w:t>E. 2</w:t>
      </w:r>
    </w:p>
    <w:p>
      <w:r>
        <w:t>Anfechtungsobjekt im bundesgerichtlichen Verfahren ist einzig die vorinstanzliche Verfügung vom 7. Februar 2025 ( Art. 80 Abs. 1 BGG ). Nicht zu hören ist der Beschwerdeführer mit Rügen, Vorbringen und Ausführungen, die ausserhalb des durch die angefochtene Verfügung begrenzten Streitgegenstands liegen. Dies ist beispielsweise der Fall, wenn der Beschwerdeführer geltend macht, er werde einer Straftat beschuldigt, die er nicht begangen habe, er sich in der Folge auf die Unschuldsvermutung beruft, dem fallführenden Staatsanwalt dabei Vorverurteilungen und Befangenheit wegen illegaler Vorgehensweisen vorwirft und diesem unterstellt, sich nicht auf Beweise, sondern lediglich auf Vermutungen zu stützen. Darauf kann von vornherein nicht eingetreten werden.</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4</w:t>
      </w:r>
    </w:p>
    <w:p>
      <w:r>
        <w:t>Die Beschwerde genügt den Begründungsanforderungen nicht. Der Beschwerdeführer setzt sich nicht im Geringsten mit den Erwägungen der angefochtenen Verfügung auseinander, sondern reicht dem Bundesgericht eine Rechtsmitteleingabe ein, die mit der im vorinstanzlichen Verfahren eingereichten kantonalen Beschwerde vom 14. Januar 2025 nahezu identisch ist (vgl. Beilage, "Beschwerde gegen die Abschreibungsverfügung vom 07.01.2025"). Der Beschwerdeführer begnügt sich derweise damit, die vor Vorinstanz erhobenen Standpunkte lediglich zu wiederholen, ohne indessen mit seiner Kritik - in rechtlicher Hinsicht - auch nur ansatzweise an der vorinstanzlichen Begründung anzusetzen, geschweige denn - in tatsächlicher Hinsicht - auf die Sachverhaltsfeststellung der Vorinstanz einzugehen, um darzulegen, inwiefern diese namentlich in Bezug auf die Würdigung sowohl des eingereichten Arztzeugnisses vom 2. Dezember 2024 als auch des angeblichen Auslandaufenthalts in Willkür verfallen sein soll. Aus der Beschwerde ergibt sich somit nicht im Ansatz, inwiefern die angefochtene Verfügung willkürlich oder sonstwie bundesrechtswidrig sein könnte. Die Beschwerde erfüllt selbst die an eine Laienbeschwerde zu stellenden minimalen Begründungsanforderungen nicht, weshalb darauf im Verfahren nach Art. 108 BGG nicht eingetreten werden kann.</w:t>
      </w:r>
    </w:p>
    <w:p>
      <w:r>
        <w:rPr>
          <w:b/>
        </w:rPr>
        <w:t>E. 5</w:t>
      </w:r>
    </w:p>
    <w:p>
      <w:r>
        <w:t>Bei diesem Verfahrensausgang trägt der Beschwerdeführer die Gerichtskosten. Sein Gesuch um unentgeltliche Rechtspflege wird gestützt auf Art. 64 BGG wegen Aussichtslosigkeit der Beschwerde abgewiesen.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