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6B_250/2016 vom 13. September 2016</w:t>
      </w:r>
    </w:p>
    <w:p>
      <w:r>
        <w:t>Bundesgericht, 2016-09-13, FR</w:t>
      </w:r>
    </w:p>
    <w:p>
      <w:r>
        <w:rPr>
          <w:b/>
        </w:rPr>
        <w:t xml:space="preserve">Quelle: </w:t>
      </w:r>
      <w:r>
        <w:t>https://mcp.opencaselaw.ch/entscheid/bger_6B_250_2016</w:t>
      </w:r>
    </w:p>
    <w:p>
      <w:r>
        <w:t>FR: TF 6B_250/2016 du 13 septembre 2016</w:t>
      </w:r>
    </w:p>
    <w:p>
      <w:r>
        <w:t>IT: TF 6B_250/2016 del 13 settembre 2016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La notion d'influence du jugement pénal sur les prétentions civiles est conçue strictement. La victime ne peut pas s'opposer à une décision parce qu'elle ne facilite pas son action sur le plan civil. Il faut que la décision attaquée ait pour conséquence que la victime rencontrera plus de difficultés à faire valoir ses prétentions civiles (6B_982/2013 du 6 février 2014 c. 1.1.1 et les références citées; ATF 127 IV 185 consid. 1a p. 188; 120 IV 38 consid. 2c p. 41; 119 IV 339 consid. 1d/cc p. 344).</w:t>
      </w:r>
    </w:p>
    <w:p>
      <w:r>
        <w:t>En vertu de l' art. 42 al. 1 LTF , il incombe à la partie recourante d'alléguer les faits qu'elle considère comme propres à fonder sa qualité pour recourir. Lorsque, comme en l'espèce, le recours est dirigé contre une décision de non-entrée en matière ou de classement de l'action pénale, la partie plaignante n'a pas nécessairement déjà pris des conclusions civiles. Il lui incombe alors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rPr>
          <w:b/>
        </w:rPr>
        <w:t>E. 1.2</w:t>
      </w:r>
    </w:p>
    <w:p>
      <w:r>
        <w:t>La recourante se borne à affirmer que la décision attaquée peut avoir des effets sur le jugement de ses prétentions civiles. Il ressort de l'ordonnance attaquée que la recourante estime avoir subi une perte qu'elle estimait, au moment de sa dénonciation, à 536'400 francs. Les actes qu'elle impute à la banque ont été commis dans le cadre de relations contractuelles. La recourante n'explique pas quelles prétentions distinctes de celles qu'elle peut déduire de ces relations contractuelles et qui résulteraient directement de l'infraction invoquée elle entend faire valoir ni en quoi l'absence de déclaration de culpabilité sur le plan pénal pourrait les influencer. La motivation présentée est insuffisante pour fonder sa qualité pour recourir sur le fond de la cause.</w:t>
      </w:r>
    </w:p>
    <w:p>
      <w:r>
        <w:rPr>
          <w:b/>
        </w:rPr>
        <w:t>E. 1.3</w:t>
      </w:r>
    </w:p>
    <w:p>
      <w:r>
        <w:t>Pour le surplus, la recourante ne fait valoir aucune violation de son droit de porter plainte (cf. art. 81 al. 1 let. b ch. 6 LTF; voir ATF 141 IV 1 consid. 1.1 p. 4) ni de ses droits de partie équivalant à un déni de justice formel (cf. ATF 141 IV 1 consid. 1.1 p. 5). Le recours est par conséquent irrecevable. Il peut être écarté en application de l' art. 108 al. 1 let. a et b LTF .</w:t>
      </w:r>
    </w:p>
    <w:p>
      <w:r>
        <w:rPr>
          <w:b/>
        </w:rPr>
        <w:t>E. 2</w:t>
      </w:r>
    </w:p>
    <w:p>
      <w:r>
        <w:t>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