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6B_24/2020 vom 20. Januar 2020</w:t>
      </w:r>
    </w:p>
    <w:p>
      <w:r>
        <w:t>Bundesgericht, 2020-01-20, DE</w:t>
      </w:r>
    </w:p>
    <w:p>
      <w:r>
        <w:rPr>
          <w:b/>
        </w:rPr>
        <w:t xml:space="preserve">Quelle: </w:t>
      </w:r>
      <w:r>
        <w:t>https://mcp.opencaselaw.ch/entscheid/bger_6B_24_2020</w:t>
      </w:r>
    </w:p>
    <w:p>
      <w:r>
        <w:t>FR: TF 6B_24/2020 du 20 janvier 2020</w:t>
      </w:r>
    </w:p>
    <w:p>
      <w:r>
        <w:t>IT: TF 6B_24/2020 del 20 gennaio 2020</w:t>
      </w:r>
    </w:p>
    <w:p>
      <w:pPr>
        <w:pStyle w:val="Heading2"/>
      </w:pPr>
      <w:r>
        <w:t>Erwägungen</w:t>
      </w:r>
    </w:p>
    <w:p>
      <w:r>
        <w:rPr>
          <w:b/>
        </w:rPr>
        <w:t>E. 1</w:t>
      </w:r>
    </w:p>
    <w:p>
      <w:r>
        <w:t>Der Beschwerdeführer erstattete am 31. Juli 2017 Strafanzeige gegen Unbekannt, eventuell gegen den Steuersekretär einer Gemeinde des Kantons Aargau wegen Amtsgeheimnisverletzung. Am 21. Dezember 2018 stellte die Staatsanwaltschaft Muri-Bremgarten das Strafverfahren ein, was die Oberstaatsanwaltschaft des Kantons Aargau am 28. Dezember 2018 genehmigte. Eine dagegen gerichtete Beschwerde wies das Obergericht des Kantons Aargau am 19. November 2019 ab.</w:t>
      </w:r>
    </w:p>
    <w:p>
      <w:r>
        <w:t>Der Beschwerdeführer wendet sich an das Bundesgericht.</w:t>
      </w:r>
    </w:p>
    <w:p>
      <w:r>
        <w:rPr>
          <w:b/>
        </w:rPr>
        <w:t>E. 2</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die Privatklägerin nicht notwendigerweise bereits vor den kantonalen Behörden Zivilansprüche geltend gemacht. In jedem Fall muss die Privatklägerin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rPr>
          <w:b/>
        </w:rPr>
        <w:t>E. 3</w:t>
      </w:r>
    </w:p>
    <w:p>
      <w:r>
        <w:t>Der Beschwerdeführer führt aus, als Adressat des angefochtenen Entscheids und in seiner Stellung als Privatkläger beschwerdelegitimiert zu sein (vgl. Beschwerde S. 2). Dies genügt zur Begründung der Legitimation im Sinne von Art. 81 Abs. 1 lit. b Ziff. 5 BGG von vornherein nicht ( Art. 42 Abs. 2 BGG ). Entscheidend ist indessen ohnehin, dass ihm keine Zivilansprüche zustehen, die er adhäsionsweise im Strafverfahren geltend machen könnte. Der vom Beschwerdeführer erhobene Vorwurf richtet sich gegen Mitglieder der kantonalen bzw. kommunalen Steuerbehörden und damit gegen Amtspersonen wegen angeblich im Amt verübter Delikte. Allfällige Ansprüche gegen Amtspersonen beurteilen sich nach dem kantonalen Haftungsgesetz und sind deshalb öffentlich-rechtlicher Natur (vgl. § 1 Abs. 1 des Haftungsgesetzes vom 24. März 2009 [Haftungsgesetz/AG; SAR 150.200]; § 75 der kantonalen Verfassung vom 25. Juni 1980 [SAR 110.000]). Der erhobene strafrechtliche Vorwurf kann sich daher allenfalls auf öffentlich-rechtliche (Staatshaftungs-) Ansprüche auswirken, nicht aber auf Zivilansprüche im Sinne von Art. 81 Abs. 1 lit. b Ziff. 5 BGG. Der Beschwerdeführer ist in der Sache folglich nicht zur Beschwerde befugt.</w:t>
      </w:r>
    </w:p>
    <w:p>
      <w:r>
        <w:rPr>
          <w:b/>
        </w:rPr>
        <w:t>E. 4</w:t>
      </w:r>
    </w:p>
    <w:p>
      <w:r>
        <w:t>Formelle Rügen, zu deren Vorbringen der Beschwerdeführer unbesehen der fehlenden Legitimation in der Sache befugt wäre (sog. "Star-Praxis"; vgl. BGE 141 IV 1 E. 1.1 mit Hinweisen), erhebt er nicht.</w:t>
      </w:r>
    </w:p>
    <w:p>
      <w:r>
        <w:rPr>
          <w:b/>
        </w:rPr>
        <w:t>E. 5</w:t>
      </w:r>
    </w:p>
    <w:p>
      <w:r>
        <w:t>Auf die Beschwerde ist im Verfahren nach Art. 108 BGG nicht einzutreten.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