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6B_249/2025 vom 7. April 2025</w:t>
      </w:r>
    </w:p>
    <w:p>
      <w:r>
        <w:t>Bundesgericht, 2025-04-07, FR</w:t>
      </w:r>
    </w:p>
    <w:p>
      <w:r>
        <w:rPr>
          <w:b/>
        </w:rPr>
        <w:t xml:space="preserve">Quelle: </w:t>
      </w:r>
      <w:r>
        <w:t>https://mcp.opencaselaw.ch/entscheid/bger_6B_249_2025</w:t>
      </w:r>
    </w:p>
    <w:p>
      <w:r>
        <w:t>FR: TF 6B_249/2025 du 7 avril 2025</w:t>
      </w:r>
    </w:p>
    <w:p>
      <w:r>
        <w:t>IT: TF 6B_249/2025 del 7 aprile 2025</w:t>
      </w:r>
    </w:p>
    <w:p>
      <w:pPr>
        <w:pStyle w:val="Heading2"/>
      </w:pPr>
      <w:r>
        <w:t>Erwägungen</w:t>
      </w:r>
    </w:p>
    <w:p>
      <w:r>
        <w:rPr>
          <w:b/>
        </w:rPr>
        <w:t>E. 1</w:t>
      </w:r>
    </w:p>
    <w:p>
      <w:r>
        <w:t>Par jugement du 16 décembre 2024 la Cour d'appel pénale du Tribunal cantonal vaudois a rejeté l'appel formé par A.________ contre le jugement rendu le 29 mai 2024 par lequel le Tribunal de police de l'arrondissement de La Broye et du Nord vaudois l'a libéré du chef de prévention de dénonciation calomnieuse, l'a reconnu coupable de diffamation, calomnie, injure et insoumission à une décision de l'autorité, l'a condamné à une peine pécuniaire de 60 jours-amende, le montant du jour-amende étant fixé à 10 fr., a dit que cette peine était entièrement complémentaire à celle prononcée le 26 juin 2022 par le Tribunal du district de Sion, l'a également condamné à une amende de 500 fr., la peine privative de liberté de substitution en cas de non-paiement fautif étant fixée à 5 jours, ainsi qu'au versement de la somme de 800 fr. à B.________ à titre d'indemnité pour tort moral et de 6'289 fr. à titre d'indemnité pour les dépenses obligatoires occasionnées par la procédure. Les frais de justice ont été également mis à sa charge.</w:t>
      </w:r>
    </w:p>
    <w:p>
      <w:r>
        <w:rPr>
          <w:b/>
        </w:rPr>
        <w:t>E. 2</w:t>
      </w:r>
    </w:p>
    <w:p>
      <w:r>
        <w:t>A.________ forme un recours en matière pénale au Tribunal fédéral contre le jugement précité. L'on comprend de ses écritures que le recourant conclut à l'annulation du jugement entrepris. Il sollicite en outre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6B_49/2025 du 24 mars 2025 consid. 4;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En l'espèce, le recourant se limite à alléguer une violation de son droit d'être entendu et du principe d'égalité, aux motifs que la cour cantonale aurait rejeté toutes ses réquisitions de preuve, qui auraient notamment permis de confirmer ses dires et apporter la preuve de la vérité, sans toutefois étayer de telles critiques de manière conforme aux exigences de motivation d'un recours en matière pénale.</w:t>
      </w:r>
    </w:p>
    <w:p>
      <w:r>
        <w:t>Au reste, le recourant s'en prend au fait que les frais judiciaires ont été mis à sa charge et affirme que les honoraires de l'avocat de la partie adverse seraient injustifiés. Or, le recourant n'indique aucunement en quoi l'application faite par la cour cantonale serait contraire au droit ou violerait l'interdiction de l'arbitraire. Son grief n'est dès lors pas motivé à satisfaction de droit.</w:t>
      </w:r>
    </w:p>
    <w:p>
      <w:r>
        <w:t>Il s'ensuit que le recours ne satisfait manifestement pas aux exigences de motivation d'un recours en matière pénale au Tribunal fédéral (cf. art. 42 al. 2 et 106 al. 2 LTF).</w:t>
      </w:r>
    </w:p>
    <w:p>
      <w:r>
        <w:rPr>
          <w:b/>
        </w:rPr>
        <w:t>E. 4</w:t>
      </w:r>
    </w:p>
    <w:p>
      <w:r>
        <w:t>Au vu de ce qui précède, l'irrecevabilité du recours est manifeste. Il convient de le constater par le biais de la procédure prévue par l' art. 108 al. 1 let. b LTF . Comme le recours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