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249/2024 vom 3. Mai 2024</w:t>
      </w:r>
    </w:p>
    <w:p>
      <w:r>
        <w:t>Bundesgericht, 2024-05-03, FR</w:t>
      </w:r>
    </w:p>
    <w:p>
      <w:r>
        <w:rPr>
          <w:b/>
        </w:rPr>
        <w:t xml:space="preserve">Quelle: </w:t>
      </w:r>
      <w:r>
        <w:t>https://mcp.opencaselaw.ch/entscheid/bger_6B_249_2024</w:t>
      </w:r>
    </w:p>
    <w:p>
      <w:r>
        <w:t>FR: TF 6B 249/2024 du 3 mai 2024</w:t>
      </w:r>
    </w:p>
    <w:p>
      <w:r>
        <w:t>IT: TF 6B 249/2024 del 3 maggio 2024</w:t>
      </w:r>
    </w:p>
    <w:p>
      <w:pPr>
        <w:pStyle w:val="Heading2"/>
      </w:pPr>
      <w:r>
        <w:t>Regeste</w:t>
      </w:r>
    </w:p>
    <w:p>
      <w:r>
        <w:t>Violation simple des règles de la circulation routière | Infractions</w:t>
      </w:r>
    </w:p>
    <w:p>
      <w:pPr>
        <w:pStyle w:val="Heading2"/>
      </w:pPr>
      <w:r>
        <w:t>Erwägungen</w:t>
      </w:r>
    </w:p>
    <w:p>
      <w:r>
        <w:rPr>
          <w:b/>
        </w:rPr>
        <w:t>E. 1</w:t>
      </w:r>
    </w:p>
    <w:p>
      <w:r>
        <w:t>Invoquant une violation des art. 90 al. 1 LCR en lien avec les art. 26 LCR et 41b OCR, le recourant se plaint également d'une violation du principe in dubio pro reo et d'une constatation incomplète et inexacte des faits.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comme en l'espèce, le recours en matière pénale est dirigé contre une décision d'une autorité de dernière instance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précédente aurait à tort admis ou nié l'arbitraire dans l'appréciation des preuves faite par l'autorité de première instance. Le Tribunal fédéral se prononce librement sur cette question (arrêts 6B_1143/2023 du 21 mars 2024 consid. 2.2; 6B_1176/2022 du 5 décembre 2023 consid. 7.1; 6B_1441/2020 du 8 octobre 2021 consid. 1.3; 6B_211/2020 du 19 mai 2020 consid. 1.1 et les références citées; cf. ATF 125 I 492 consid. 1a/cc et 1b).</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1.2</w:t>
      </w:r>
    </w:p>
    <w:p>
      <w:r>
        <w:t>En l'espèce, la cour cantonale a relevé que le premier juge avait retenu plusieurs éléments probants résultant du dossier pour arrêter les faits à l'encontre du recourant, à savoir, notamment, le témoignage du cycliste blessé, qui n'avait pas déposé plainte nonobstant les blessures subies et qui s'était montré catégorique sur le déroulement de faits, tandis que le recourant avait donné des explications qualifiées d'inédites et de contradictoires. Elle en a conclu que le premier juge s'était livré à une analyse détaillée, complète et pertinente, à laquelle il était renvoyé, et qui permettait donc de retenir que le véhicule du recourant était bien en mouvement au moment de l'accident et que, lorsqu'il s'était engagé dans le giratoire, il n'avait pas vu le cycliste et n'avait pas prêté l'attention nécessaire au côté gauche dudit giratoire. On ne discernait aucun arbitraire dans l'appréciation des faits. Le recourant échouait, alors qu'il lui incombait de le faire en vertu de l' art. 398 al. 4 CPP , à démontrer en quoi l'établissement des faits par le premier juge était entaché d'arbitraire. Au contraire, le jugement de première instance échappait à la critique, dès lors qu'il reposait sur les déclarations constantes et claires du cycliste devant la police et aux débats, étant relevé que ce dernier n'était pas partie à la procédure et n'avait donc aucune raison de mentir. À l'inverse, le tribunal de police avait relevé le caractère fluctuant des déclarations du recourant, qui avait cherché à minimiser sa faute et à la reporter sur le cycliste, ses arguments étant jugés inconsistants.</w:t>
      </w:r>
    </w:p>
    <w:p>
      <w:r>
        <w:rPr>
          <w:b/>
        </w:rPr>
        <w:t>E. 1.3</w:t>
      </w:r>
    </w:p>
    <w:p>
      <w:r>
        <w:t>Face à la motivation cantonale et sous couvert d'un grief de violation des art. 90 al. 1 LCR , 26 al. 1 LCR et 41b OCR, le recourant développe une argumentation par laquelle il présente sa propre appréciation des preuves en l'opposant à celle des juges précédents. Une pareille argumentation s'avère ainsi, pour l'essentiel, appellatoire, et donc irrecevable. En tout état, les différents points qu'il soulève, en discutant notamment la position des véhicules et leur allure respective, ne permettent nullement d'entrevoir un élément devant conduire à considérer que la cour cantonale aurait dû qualifier d'insoutenable l'appréciation du premier juge ou à tout le moins considérer que le recourant aurait dû être acquitté au bénéfice du doute. On peut, en réalité, se limiter à renvoyer à la motivation claire et convaincante de la cour cantonale ( art. 109 al. 3 LTF ). Les griefs du recourant, manifestement mal fondés dans la faible mesure de leur recevabilité, doivent être rejetés.</w:t>
      </w:r>
    </w:p>
    <w:p>
      <w:r>
        <w:rPr>
          <w:b/>
        </w:rPr>
        <w:t>E. 2</w:t>
      </w:r>
    </w:p>
    <w:p>
      <w:r>
        <w:t>Au vu de ce qui précède, le recours, manifestement mal fondé, doit être rejeté dans la faible mesure de sa recevabilité, selon la procédure simplifiée prévue par l' art. 109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