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248/2016 vom 1. April 2016</w:t>
      </w:r>
    </w:p>
    <w:p>
      <w:r>
        <w:t>Bundesgericht, 2016-04-01, DE</w:t>
      </w:r>
    </w:p>
    <w:p>
      <w:r>
        <w:rPr>
          <w:b/>
        </w:rPr>
        <w:t xml:space="preserve">Quelle: </w:t>
      </w:r>
      <w:r>
        <w:t>https://mcp.opencaselaw.ch/entscheid/bger_6B_248_2016</w:t>
      </w:r>
    </w:p>
    <w:p>
      <w:r>
        <w:t>FR: TF 6B 248/2016 du 1 avril 2016</w:t>
      </w:r>
    </w:p>
    <w:p>
      <w:r>
        <w:t>IT: TF 6B 248/2016 del 1 aprile 2016</w:t>
      </w:r>
    </w:p>
    <w:p>
      <w:pPr>
        <w:pStyle w:val="Heading2"/>
      </w:pPr>
      <w:r>
        <w:t>Regeste</w:t>
      </w:r>
    </w:p>
    <w:p>
      <w:r>
        <w:t>Nichteintreten auf Anzeige (Betrug, Urkundenfälschung etc.) | Strafprozess</w:t>
      </w:r>
    </w:p>
    <w:p>
      <w:pPr>
        <w:pStyle w:val="Heading2"/>
      </w:pPr>
      <w:r>
        <w:t>Erwägungen</w:t>
      </w:r>
    </w:p>
    <w:p>
      <w:r>
        <w:rPr>
          <w:b/>
        </w:rPr>
        <w:t>E. 1</w:t>
      </w:r>
    </w:p>
    <w:p>
      <w:r>
        <w:t>Der Beschwerdeführer erhob am 12. August 2015 Strafanzeige gegen zwei Richter aus dem Kanton Basel-Stadt wegen Betrugs, Urkundenfälschung und Amtsmissbrauchs. Am 11. September 2015 trat die Staatsanwaltschaft auf die Anzeige nicht ein. Eine dagegen gerichtete Beschwerde wies das Appellationsgericht des Kantons Basel-Stadt am 21. Januar 2016 ab. Der Beschwerdeführer wendet sich ans Bundesgericht und beantragt, der Entscheid des Appellationsgerichts vom 21. Januar sei aufzuheben. Die Staatsanwaltschaft sei anzuweisen, die Strafanzeige an die Hand zu nehmen und einem unabhängigen Staatsanwalt zu übergeben. Der vorinstanzliche Richter sei als befangen zu erklären.</w:t>
      </w:r>
    </w:p>
    <w:p>
      <w:r>
        <w:rPr>
          <w:b/>
        </w:rPr>
        <w:t>E. 2</w:t>
      </w:r>
    </w:p>
    <w:p>
      <w:r>
        <w:t>Der Beschwerdeführer beantragt, es seien mehrere Verfahren zusammenzulegen. Indessen betreffen diese Verfahren einerseits zwei verschiedene Beschwerdeführer, die zwei unabhängige Beschwerden einreichten, sowie anderseits verschiedene vom Beschwerdeführer angeschuldigte Personen, über welche Fälle die Vorinstanz in zwei verschiedenen Entscheiden befunden hat. Eine Zusammenlegung der Verfahren drängt sich nicht auf.</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Gemäss § 3 des Gesetzes über die Haftung des Staates und seines Personals des Kantons Basel-Stadt vom 17. November 1999 (Haftungsgesetz, SG 161.100) haftet der Staat für den Schaden, den sein Personal, zu dem gemäss § 1 die Mitglieder der Gerichte gehören, in Ausübung seiner amtlichen Tätigkeit Dritten widerrechtlich zufügt (Abs. 1). Gegenüber dem fehlbaren Personal steht der geschädigten Person kein Anspruch zu (Abs. 2). Wo der Staat gemäss § 3 für Schaden haftet, hat die geschädigte Person Anspruch auf Genugtuung, wenn sie in ihren Persönlichkeitsrechten schwer verletzt worden ist (§ 5). Allfällige Schadenersatz- und Genugtuungsansprüche des Beschwerdeführers gegen Richter beurteilen sich ausschliesslich nach dem Haftungsgesetz und sind demnach öffentlich-rechtlicher Natur. Da ihm keine zivilrechtlichen Ansprüche zustehen, ist er zur vorliegenden Beschwerde grundsätzlich nicht legitimiert.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Der Beschwerdeführer ist der Ansicht, der Richter, der den angefochtenen Entscheid gefällt hat, sei als befangen zu erklären. Da die Funktion als Berufungsrichter (in einem Verfahren, welches eine Verurteilung des Beschwerdeführers betrifft) mit der Funktion eines Beschwerderichters (im vorliegenden Verfahren, welches eine Strafanzeige gegen zwei Richter betrifft) unvereinbar sei, und da der in Frage stehende Richter unzulässigerweise zweimal in derselben Sache als Beschwerderichter amtete, hafte mit seiner Teilnahme "ein erheblicher Mangel an den Verfügungen" (vgl. Beschwerde S. 6/7). Es stellt sich die Frage, ob das Vorbringen heute noch gehört werden kann. Den Akten ist zu entnehmen, dass im Verfahren BES.2015.132 bereits am 28. September 2015 eine Verfügung erging, die unter anderem dem Beschwerdeführer zugestellt wurde und die von dem vom Beschwerdeführer erst vor Bundesgericht als befangen abgelehnten Richter unterschrieben wurde. Aus unbekannten Gründen hat der Beschwerdeführer die Sache nach dem 28. September 2015 auf sich beruhen lassen und den Ausstand des Richters erst verlangt, nachdem dieser einen Entscheid gefällt hatte, mit welchem der Beschwerdeführer nicht einverstanden war. Ein solches Verhalten verstösst gegen Treu und Glauben. Im Übrigen ergibt sich aus dem Verbot der Vorbefassung im Sinne von Art. 56 lit. b StPO nicht, dass ein Berufungsrichter grundsätzlich nicht als Beschwerderichter in einem anderen Verfahren und dieselbe Person im gleichen Verfahren nicht zweimal als Beschwerderichter amten kann. Eine solche grundsätzliche Unvereinbarkeit von Berufungs- und Beschwerderichter folgt entgegen der Meinung des Beschwerdeführers insbesondere nicht aus dem von ihm erwähnten Urteil des Bundesgerichts 1B_86/2015 vom 21. Juli 2015, in welchem es um ganz andere Fragen ging. Auch kann davon, dass der in Frage stehende Richter am 21. Juli 2015 von seiner Funktion als Berufungsrichter durch das Bundesgericht "enthoben" worden wäre, nicht die Rede sein. Schliesslich verweist der Beschwerdeführer darauf, dass im Rubrum des angefochtenen Entscheids von ihm als "Beschuldigtem" die Rede ist. Dabei handelt es sich um einen offensichtlichen Irrtum in der Parteibezeichnung, aus welchem nicht auf die Befangenheit des Richters geschlossen werden kann. Die Beschwerde ist in diesem Punkt unbegründet.</w:t>
      </w:r>
    </w:p>
    <w:p>
      <w:r>
        <w:rPr>
          <w:b/>
        </w:rPr>
        <w:t>E. 5</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