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6B_247/2023 vom 23. März 2023</w:t>
      </w:r>
    </w:p>
    <w:p>
      <w:r>
        <w:t>Bundesgericht, 2023-03-23, DE</w:t>
      </w:r>
    </w:p>
    <w:p>
      <w:r>
        <w:rPr>
          <w:b/>
        </w:rPr>
        <w:t xml:space="preserve">Quelle: </w:t>
      </w:r>
      <w:r>
        <w:t>https://mcp.opencaselaw.ch/entscheid/bger_6B_247_2023</w:t>
      </w:r>
    </w:p>
    <w:p>
      <w:r>
        <w:t>FR: TF 6B_247/2023 du 23 mars 2023</w:t>
      </w:r>
    </w:p>
    <w:p>
      <w:r>
        <w:t>IT: TF 6B_247/2023 del 23 marzo 2023</w:t>
      </w:r>
    </w:p>
    <w:p>
      <w:pPr>
        <w:pStyle w:val="Heading2"/>
      </w:pPr>
      <w:r>
        <w:t>Erwägungen</w:t>
      </w:r>
    </w:p>
    <w:p>
      <w:r>
        <w:rPr>
          <w:b/>
        </w:rPr>
        <w:t>E. 1</w:t>
      </w:r>
    </w:p>
    <w:p>
      <w:r>
        <w:t>Die Staatsanwaltschaft Brugg-Zurzach stellte das vom Beschwerdeführer mit Strafanzeige gegen den Gerichtspräsidenten eines kantonalen Bezirksgerichts angestrengte Strafverfahren wegen Amtsmissbrauchs am 13. Oktober 2022 ein. Die Einstellungsverfügung wurde am 19. Oktober 2022 von der Oberstaatsanwaltschaft des Kantons Aargau genehmigt. Eine dagegen gerichtete Beschwerde wies das Obergericht des Kantons Aargau mit Entscheid vom 12. Januar 2023 ab. Der Beschwerdeführer wendet sich an das Bundesgericht.</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t>Der Privatklägerschaft wird ein rechtlich geschütztes Interesse an der Beschwerde zuerkannt, wenn sich der angefochtene Entscheid auf die Beurteilung ihrer Zivilansprüche auswirken kann (Art. 81 Abs. 1 lit. b Ziff. 5 BGG; BGE 141 IV 1 E. 1.1). Die beschwerdeführende Partei hat im bundesgerichtlichen Verfahren ihre Beschwerdelegitimation darzulegen. Das Bundesgericht stellt an die Begründung der Legitimation der Privatklägerschaft strenge Anforderungen ( BGE 141 IV 1 E. 1.1 mit Hinweisen).</w:t>
      </w:r>
    </w:p>
    <w:p>
      <w:r>
        <w:rPr>
          <w:b/>
        </w:rPr>
        <w:t>E. 3</w:t>
      </w:r>
    </w:p>
    <w:p>
      <w:r>
        <w:t>Der Beschwerdeführer äussert sich in seiner Eingabe nicht zu seiner Legitimation als Privatkläger, die vorliegend auch nicht gegeben ist. Aus dem zur Anzeige gebrachten Sachverhalt kann der Beschwerdeführer keine Zivilforderungen im Sinne von Art. 81 Abs. 1 lit. b Ziff. 5 BGG geltend machen, weil sich allfällige Schadenersatz- und Genugtuungsansprüche gegen den beschuldigten Gerichtspräsidenten einzig nach dem kantonalen Haftungsgesetz beurteilen (vgl. § 1 Abs. 1 ff. des Haftungsgesetzes vom 24. März 2009 [Haftungsgesetz/AG; SAR 150.200]; § 75 der kantonalen Verfassung vom 25. Juni 1980 [SAR 110.000]) und somit öffentlich-rechtlicher Natur sind. Öffentlich-rechtliche Ansprüche, auch solche aus Staatshaftung, können jedoch nicht adhäsionsweise im Strafprozess geltend gemacht werden ( BGE 131 I 455 E. 1.2.4 S. 461; Urteil 6B_514/2017 vom 18. Mai 2017 E. 2). Der Beschwerdeführer ist folglich in der Sache nicht zur Beschwerde legitimiert.</w:t>
      </w:r>
    </w:p>
    <w:p>
      <w:r>
        <w:rPr>
          <w:b/>
        </w:rPr>
        <w:t>E. 4</w:t>
      </w:r>
    </w:p>
    <w:p>
      <w:r>
        <w:t>Formelle Rügen, zu deren Geltendmachung er unbesehen um die fehlende Legitimation in der Sache befugt wäre (sog. "Star-Praxis"; vgl. BGE 141 IV 1 E. 1.1 mit Hinweisen), erhebt der Beschwerdeführer nicht.</w:t>
      </w:r>
    </w:p>
    <w:p>
      <w:r>
        <w:rPr>
          <w:b/>
        </w:rPr>
        <w:t>E. 5</w:t>
      </w:r>
    </w:p>
    <w:p>
      <w:r>
        <w:t>Auf die Beschwerde ist im Verfahren nach Art. 108 BGG nicht einzutreten. 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