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6B_244/2019 vom 10. April 2019</w:t>
      </w:r>
    </w:p>
    <w:p>
      <w:r>
        <w:t>Bundesgericht, 2019-04-10, FR</w:t>
      </w:r>
    </w:p>
    <w:p>
      <w:r>
        <w:rPr>
          <w:b/>
        </w:rPr>
        <w:t xml:space="preserve">Quelle: </w:t>
      </w:r>
      <w:r>
        <w:t>https://mcp.opencaselaw.ch/entscheid/bger_6B_244_2019</w:t>
      </w:r>
    </w:p>
    <w:p>
      <w:r>
        <w:t>FR: TF 6B_244/2019 du 10 avril 2019</w:t>
      </w:r>
    </w:p>
    <w:p>
      <w:r>
        <w:t>IT: TF 6B_244/2019 del 10 aprile 2019</w:t>
      </w:r>
    </w:p>
    <w:p>
      <w:pPr>
        <w:pStyle w:val="Heading2"/>
      </w:pPr>
      <w:r>
        <w:t>Erwägungen</w:t>
      </w:r>
    </w:p>
    <w:p>
      <w:r>
        <w:rPr>
          <w:b/>
        </w:rPr>
        <w:t>E. 1</w:t>
      </w:r>
    </w:p>
    <w:p>
      <w:r>
        <w:t>Le recourant reproche à la cour cantonale d'avoir violé son droit d'être entendu en ne réadministrant pas les preuves en appel. Il invoque une violation des art. 29 al. 2 Cst. , 343, 389 et 405 CPP.</w:t>
      </w:r>
    </w:p>
    <w:p>
      <w:r>
        <w:rPr>
          <w:b/>
        </w:rPr>
        <w:t>E. 1.1</w:t>
      </w:r>
    </w:p>
    <w:p>
      <w:r>
        <w:t>Aux termes de l' art. 389 al. 1 CPP ,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 ATF 143 IV 288 consid. 1.4.1 p. 290).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aux art. 343 al. 3 CPP , applicable par renvoi de l' art. 405 al. 1 CPP à la procédure d'appel, lorsque la connaissance directe du moyen de preuve apparaît nécessaire au prononcé du jugement ( ATF 143 IV 288 consid. 1.4.1 p. 290; arrêt 6B_1469/2017 du 18 juin 2018 consid. 1.3). Tel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p. 199 s.; arrêts 6B_535/2018 du 15 novembre 2018 consid. 4.1; 6B_800/2016 du 25 octobre 2017 consid. 9.2 non publié à l' ATF 143 IV 397 ). Le juge dispose d'un pouvoir d'appréciation afin de déterminer si la réadministration de la preuve, par lui, est nécessaire ( ATF 140 IV 196 consid. 4.4.2 p. 199 s.; arrêt 6B_800/2016 du 25 octobre 2017 consid. 9.2 non publié à l' ATF 143 IV 397 ).</w:t>
      </w:r>
    </w:p>
    <w:p>
      <w:r>
        <w:t>Le droit d'être entendu, tel qu'il est garanti par l' art. 29 al. 2 Cst. , n'accorde pas de droits plus étendus en matière d'administration de preuves que ceux découlant des art. 343 et 389 CPP (arrêts 6B_1469/2017 du 18 juin 2018 consid. 1.3; 6B_1251/2014 du 1er juin 2015 consid. 1.4) ou de la maxime de l'instruction (arrêts 6B_1266/2018 du 12 mars 2019 consid. 1.3; 6B_128/2018 du 8 février 2019 consid. 3.2).</w:t>
      </w:r>
    </w:p>
    <w:p>
      <w:r>
        <w:rPr>
          <w:b/>
        </w:rPr>
        <w:t>E. 1.2</w:t>
      </w:r>
    </w:p>
    <w:p>
      <w:r>
        <w:t>Il ressort expressément du jugement entrepris que le recourant a été entendu en appel. Il a alors confirmé les déclarations faites durant l'enquête et en première instance et a affirmé n'avoir</w:t>
      </w:r>
    </w:p>
    <w:p>
      <w:r>
        <w:t>" rien de nouveau à dire " (jugement entrepris, p. 5). Aucune requête d'administration de preuve n'a été formulée (jugement entrepris, p. 4 et 8). Le recourant ne prétend ni ne tente de démontrer que l'administration des preuves était incomplète ou que la connaissance directe de certains moyens de preuve apparaissait nécessaire. La condamnation repose sur l'appréciation de plusieurs moyens de preuve, non de deux déclarations contradictoires. En tant que le recourant se contente d'affirmer que la cour cantonale aurait dû faire administrer des preuves complémentaires, sans autre développement, son moyen est irrecevable. En définitive, faute pour le recourant d'indiquer en quoi la cour cantonale aurait violé les dispositions relatives à l'administration des preuves en appel, il n'y a pas lieu d'entrer en matière sur ce point ( art. 42 al. 2 LTF ).</w:t>
      </w:r>
    </w:p>
    <w:p>
      <w:r>
        <w:rPr>
          <w:b/>
        </w:rPr>
        <w:t>E. 2</w:t>
      </w:r>
    </w:p>
    <w:p>
      <w:r>
        <w:t>Le recourant conteste sa condamnation du chef d'homicide par négligence. Il estime que l'autorité précédente a établi certains faits de la cause de manière arbitraire et contraire à la présomption d'innocence. Il invoque une violation de l' art. 117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l'appréciation des preuves et la constatation des faits sont critiquées en référence au principe " in dubio pro reo ", celui-ci n'a pas de portée plus large que l'interdiction de l'arbitraire ( ATF 144 IV 345 consid. 2.2.3 p. 348 ss; 138 V 74 consid. 7 p. 82).</w:t>
      </w:r>
    </w:p>
    <w:p>
      <w:r>
        <w:rPr>
          <w:b/>
        </w:rPr>
        <w:t>E. 2.2</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au sens de l' art. 117 CP suppose ainsi la réalisation de trois éléments constitutifs, à savoir le décès d'une personne, une négligence, ainsi qu'un rapport de causalité naturelle et adéquate entre les deux premiers éléments ( ATF 122 IV 145 consid. 3 p. 147; cf. arrêts 6B_704/2018 du 2 novembre 2018 consid. 4.1; 6B_1371/2017 du 22 mai 2018 consid. 1.1).</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s.).</w:t>
      </w:r>
    </w:p>
    <w:p>
      <w:r>
        <w:t>Il faut ensuite qu'il existe un rapport de causalité entre la violation fautive du devoir de prudence et le décès de la victime.</w:t>
      </w:r>
    </w:p>
    <w:p>
      <w:r>
        <w:rPr>
          <w:b/>
        </w:rPr>
        <w:t>E. 3</w:t>
      </w:r>
    </w:p>
    <w:p>
      <w:r>
        <w:t>Le recourant conteste avoir violé son devoir de prudence en n'instruisant pas suffisamment ses ouvriers sur les règles de sécurité concernant les travaux de fouilles et en délégant la sécurité du chantier à Y.________. Il reproche à la cour cantonale d'avoir fait preuve d'arbitraire dans l'établissement des faits sur ces points.</w:t>
      </w:r>
    </w:p>
    <w:p>
      <w:r>
        <w:rPr>
          <w:b/>
        </w:rPr>
        <w:t>E. 3.1</w:t>
      </w:r>
    </w:p>
    <w:p>
      <w:r>
        <w:t>En l'occurrence, il est reproché au recourant d'avoir violé son devoir de prudence par le fait d'un comportement passif contraire à une obligation d'agir ( art. 11 al. 1 CP ).</w:t>
      </w:r>
    </w:p>
    <w:p>
      <w:r>
        <w:t>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arrêts 6B_315/2016 du 1er novembre 2016 consid. 4.1; 6B_614/2014 du 1er décembre 2014 consid. 1).</w:t>
      </w:r>
    </w:p>
    <w:p>
      <w:r>
        <w:rPr>
          <w:b/>
        </w:rPr>
        <w:t>E. 3.2</w:t>
      </w:r>
    </w:p>
    <w:p>
      <w:r>
        <w:t>Selon l'art. 3 al. 5 de l'ordonnance sur la sécurité et la protection de la santé des travailleurs dans les travaux de construction (OTConst; RS 832.311.141), 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 A teneur de l' art. 4 al. 1 OTConst , l'employeur doit désigner sur chaque chantier une personne compétente chargée de la sécurité au travail et de la protection de la santé; cette personne peut donner des directives en la matière aux travailleurs. L' art. 55 OTConst fixe des règles de sécurité en matière de fouilles en particulier. Celles-ci doivent être aménagées de manière que la chute ou l'éboulement de matériaux ne mette personne en danger (al. 1). Les fouilles de plus de 1m50 de profondeur qui ne sont pas étayées doivent être talutées ou assurées par d'autres mesures adéquates (cf. al. 2). Les bords de la fouille doivent être libres sur au moins 50 cm de largeur lorsqu'elle est étayée ou sur au moins 1m lorsqu'il y a un talus (al. 5).</w:t>
      </w:r>
    </w:p>
    <w:p>
      <w:r>
        <w:t>Selon l'art. 3 al. 1 de l'ordonnance sur la prévention des accidents et des maladies professionnelles (OPA;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L'employeur doit veiller à ce que l'efficacité des mesures et des installations de protection ne soit pas entravée. Il les contrôle à intervalles appropriés (al. 2). A teneur de l' art. 6 OPA ,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(al. 1). Les travailleurs doivent être renseignés sur les tâches et les fonctions des spécialistes de la sécurité au travail occupés dans l'entreprise (al. 2). L'employeur veille à ce que les travailleurs observent les mesures relatives à la sécurité au travail (al. 3). Selon l'art. 7 al. 1, 1ère phrase, OPA, lorsque l'employeur confie à un travailleur certaines tâches relatives à la sécurité au travail, il doit le former de manière appropriée, parfaire sa formation et lui donner des compétences précises et des instructions claires. Le fait de confier de telles tâches à un travailleur ne libère pas l'employeur de ses obligations d'assurer la sécurité au travail (al. 2). L' art. 8 al. 1 OPA prévoit que l'employeur ne peut confier des travaux comportant des dangers particuliers qu'à des travailleurs ayant été formés spécialement à cet effet. L'employeur fera surveiller tout travailleur qui exécute seul un travail dangereux.</w:t>
      </w:r>
    </w:p>
    <w:p>
      <w:r>
        <w:t>Il ressort de la " liste de contrôle concernant les fouilles et terrassements ", éditée en février 2014 par la SUVA, que les fouilles de plus de 1,50 m de profondeur doivent être talutées, étayées ou assurées par d'autres mesures adéquates (ch. 4). S'agissant de l'organisation et de la formation, il faut veiller à ce que le personnel soit régulièrement informé sur les risques spécifiques aux fouilles (notamment être enseveli) et le personnel d'encadrement doit contrôler le respect des règles en vigueur (ch. 24).</w:t>
      </w:r>
    </w:p>
    <w:p>
      <w:r>
        <w:t>Dans un document intitulé " Sécurité dans les travaux de fouilles " (cf. pièce 108 du dossier), le Bureau pour la Sécurité au travail, géré par la Société suisse des entrepreneurs, pose comme règles de base, lorsque le terrain est instable (ex: mauvaise qualité du sol) ou qu'il est rendu instable (ex: surcharge), de taluter ou étayer, même si la fouille a moins de 1m50 de profondeur (ch. 2). Aucune machine (ex: pelle, camion) ne doit se situer à moins d'un mètre du bord de la fouille si celle-ci n'est pas étayée. La surcharge peut entraîner un éboulement (ch. 6).</w:t>
      </w:r>
    </w:p>
    <w:p>
      <w:r>
        <w:rPr>
          <w:b/>
        </w:rPr>
        <w:t>E. 3.3</w:t>
      </w:r>
    </w:p>
    <w:p>
      <w:r>
        <w:t>La cour cantonale a retenu que le recourant avait laissé ses collaborateurs dans l'ignorance des normes de sécurité concernant le travail de fouille. Selon le jugement entrepris, le recourant avait admis n'avoir donné à ses employés aucune formation particulière s'agissant des règles de sécurité. Il ignorait si Y.________ avait déjà participé à des travaux de fouille, s'étant fondé sur le CV de ce dernier pour considérer qu'il était qualifié comme conducteur de travaux responsable de la sécurité. Il avait également reconnu n'avoir pas informé ses employés s'agissant de la profondeur d'une fouille nécessitant un étayage et des distances de sécurité aux abords de la fouille. Bien qu'au bénéfice d'une formation d'architecte acquise au Portugal, Y.________ avait confirmé qu'il n'avait jamais suivi de formation concernant les normes suisses de sécurité sur les chantiers. Il n'avait ainsi pas été en mesure d'indiquer au chef d'équipe, Z.________, quel matériel il fallait prendre pour l'étayage et n'avait donné aucune instruction sur la pose du matériel d'étayage. Y.________ avait en outre admis qu'il ignorait s'il était possible ou non d'utiliser des panneaux de coffrage pour étayer la fouille.</w:t>
      </w:r>
    </w:p>
    <w:p>
      <w:r>
        <w:t>Sur cette base, la cour cantonale a considéré que le recourant ne pouvait pas se prévaloir de la délégation de la sécurité à Y.________, puisque celui-ci était de toute évidence incompétent en la matière. Il apparaissait, aux yeux des juges cantonaux, que les questions de sécurité étaient négligées au sein de l'entreprise du recourant et que le processus accidentel ayant conduit au décès de la victime résultait d'une accumulation d'ignorances sur les règles de sécurité de l'étayage, allant du responsable de la sécurité jusqu'à l'ouvrier, en passant par le contremaître ou le chef d'équipe. En sa qualité de directeur de la société mandatée pour les travaux, le recourant avait une position de garant vis-à-vis de ses employés et le devoir de les former ou de veiller à leur formation sur les règles de sécurité, ce qu'il n'avait pas fait. Son absence le jour du sinistre ne l'exonérait pas de sa responsabilité quant aux carences organisationnelles de son entreprise, à l'origine de l'accident mortel (jugement cantonal consid. 2.3 p. 19 s.).</w:t>
      </w:r>
    </w:p>
    <w:p>
      <w:r>
        <w:rPr>
          <w:b/>
        </w:rPr>
        <w:t>E. 3.4</w:t>
      </w:r>
    </w:p>
    <w:p>
      <w:r>
        <w:t>Le recourant ne remet pas en cause les conclusions des expertises. Il se contente de reproduire certaines de ses déclarations aux débats et celles des employés, sans tenter de démontrer dans quelle mesure la cour cantonale les aurait appréciées arbitrairement ou en aurait tiré des conclusions insoutenables. Faute de remplir les exigences de motivation déduites de l' art. 106 al. 2 LTF , son argumentation est irrecevable. En tout état, dans la mesure où il est établi que Y.________ n'était pas en mesure d'indiquer quel matériel était nécessaire à l'étayage, peu importe qu'il soit titulaire d'un diplôme d'architecte, qu'il ait appris les règles de sécurité sur le chantier, qu'il fut au courant de l'obligation d'étayer dès 1,50 m et qu'il se soit senti responsable d'informer des consignes de sécurité. L'expérience de Z.________ en qualité de maçon et celle de la victime, engagée depuis environ 3 mois par le recourant (jugement de première instance, p. 6) ne sont pas davantage pertinentes. En effet, ces éléments sont inaptes à démontrer l'arbitraire de la constatation selon laquelle le recourant n'a pas informé ni instruit les travailleurs s'agissant des mesures de sécurité, pas plus qu'il n'a formé Y.________ en lui confiant des tâches relatives à la sécurité. Pour le surplus, le fait que la victime ait, selon son père, parfois fait des fouilles avec une pelle retro au Portugal (jugement de première instance, p. 33) ne permet pas de démontrer l'arbitraire de la constatation selon laquelle il ignorait les règles de sécurité en matière de fouilles.</w:t>
      </w:r>
    </w:p>
    <w:p>
      <w:r>
        <w:t>En l'espèce, il est établi et incontesté que le recourant, directeur de la société en charge des travaux, avait la responsabilité du suivi des chantiers, de la formation des employés et de l'application des normes de sécurité établies par la SUVA. Sa position de garant l'obligeait à protéger ses employés sur les chantiers et à empêcher la réalisation des risques liés aux travaux de construction, cela en vertu des prescriptions légales et règles analogues édictées afin de prévenir les accidents (cf. supra consid. 3.2). Or, d'après les faits établis, dont l'arbitraire n'a pas été démontré, le recourant n'a pas formé spécifiquement le responsable/technicien du chantier, ni le contremaître et s'est abstenu d'indiquer à ses employés les règles de base de sécurité dans les travaux de fouille, notamment s'agissant de l'étayage et de la distance imposée par la surcharge due aux engins. Il ne s'est pas assuré de l'adéquation du matériel d'étayage ni de la sécurisation des travaux de fouille. Il ne s'est pas assuré de l'expérience professionnelle de la victime (jugement de première instance, p. 6). Il a confié certaines tâches à Y.________ et Z.________ sans les former et sans leur donner d'instructions claires, alors qu'ils ignoraient quel matériel était adéquat. Il a ainsi violé plusieurs règles en rapport direct avec l'accident fatal (cf. supra consid. 3.2). Compte tenu de ses circonstances personnelles, le recourant n'a pas déployé l'attention et les efforts que l'on pouvait attendre de lui, au contraire, il a fait preuve d'une négligence fautive.</w:t>
      </w:r>
    </w:p>
    <w:p>
      <w:r>
        <w:t>Certes, il ressort de l'arrêt publié aux ATF 104 IV 96 , auquel se réfère le recourant, qu'un responsable des travaux peut confier à un collaborateur expérimenté et capable la tâche d'instruire et de surveiller directement les ouvriers sur un de ces chantiers afin d'éviter les risques d'accident. Toutefois, à teneur de ce même arrêt, l'obligation de procéder avec la diligence voulue au choix, à l'information et à la surveillance de son personnel reste à sa charge. Au surplus, il est précisé qu'en l'espèce, le recourant ne s'est pas assuré de l'expérience et des capacités de Y.________ et ne l'a pas formé ni ne lui a donné d'instructions claires.</w:t>
      </w:r>
    </w:p>
    <w:p>
      <w:r>
        <w:t>Le recourant ne saurait rien déduire en sa faveur de l'arrêt publié aux ATF 117 IV 130 , dont il ressort que, lorsqu'un ouvrier sait ce qu'il doit faire et y renonce, l'employeur ne peut pas être automatiquement rendu responsable sur le plan pénal. En effet, dans l'arrêt précité, le grutier savait quelles étaient les manoeuvres à entreprendre pour éviter un accident, ce qui n'est pas le cas en l'espèce (jugement entrepris consid. 2.3 p. 20).</w:t>
      </w:r>
    </w:p>
    <w:p>
      <w:r>
        <w:t>Par conséquent, c'est sans violer le droit fédéral que la cour cantonale a reconnu que le recourant avait violé de manière fautive son devoir de prudence.</w:t>
      </w:r>
    </w:p>
    <w:p>
      <w:r>
        <w:rPr>
          <w:b/>
        </w:rPr>
        <w:t>E. 4</w:t>
      </w:r>
    </w:p>
    <w:p>
      <w:r>
        <w:t>Le recourant conteste l'existence d'un lien de causalité entre ses manquements et le décès de la victime. Il se prévaut d'une rupture du lien de causalité.</w:t>
      </w:r>
    </w:p>
    <w:p>
      <w:r>
        <w:rPr>
          <w:b/>
        </w:rPr>
        <w:t>E. 4.1</w:t>
      </w:r>
    </w:p>
    <w:p>
      <w:r>
        <w:t>Les concepts de causalité naturelle et adéquate ont été rappelés récemment aux ATF 143 III 242 consid. 3.7 p. 249 s. et ont notamment été précisés aux ATF 133 IV 158 consid. 6.1 p. 167 s. et 131 IV 145 consid. 5 p. 147 ss, auxquels on peut se référer. Selon la jurisprudence, il y a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arrêt 6B_177/2017 du 6 septembre 2017 consid. 4.1). La causalité adéquate est ainsi exclue lorsque l'acte attendu n'aurait vraisemblablement pas empêché la survenance du résultat ou lorsqu'il serait simplement possible qu'il l'eût empêché (arrêts 6B_948/2017 du 8 mars 2018 consid. 4.1; 6B_177/2017 du 6 septembre 2017 consid. 4.1).</w:t>
      </w:r>
    </w:p>
    <w:p>
      <w:r>
        <w:rPr>
          <w:b/>
        </w:rPr>
        <w:t>E. 4.2</w:t>
      </w:r>
    </w:p>
    <w:p>
      <w:r>
        <w:t>Se fondant sur les observations des experts, la cour cantonale a retenu que l'étayage de la fouille était absolument indispensable à partir de la profondeur de 1,50 m et qu'il était évident que si cette mesure de sécurité avait été prise, le décès de la victime ne se serait pas produit. La cour cantonale a également retenu que la distance entre le bord de la fouille et la camionnette n'était pas suffisante.</w:t>
      </w:r>
    </w:p>
    <w:p>
      <w:r>
        <w:rPr>
          <w:b/>
        </w:rPr>
        <w:t>E. 4.3</w:t>
      </w:r>
    </w:p>
    <w:p>
      <w:r>
        <w:t>Sur la base des faits établis, la formation des employés et la surveillance des mesures de sécurité de la fouille (étayage et distance minimale) auraient selon toute vraisemblance empêché l'ensevelissement de la victime. Si le recourant avait correctement formé ses employés et s'était assuré que les moyens adéquats étaient disponibles et mis en oeuvre pour sécuriser la fouille, l'accident aurait, avec une vraisemblance confinant à la certitude, pu être évité. Aussi, c'est sans violer le droit fédéral que la cour cantonale a admis la causalité adéquate.</w:t>
      </w:r>
    </w:p>
    <w:p>
      <w:r>
        <w:t>Le recourant souligne le passage de l'expertise selon lequel l'effondrement s'est produit brusquement,</w:t>
      </w:r>
    </w:p>
    <w:p>
      <w:r>
        <w:t>" sans signe avant-coureur visible, ce qui est caractéristique d'un sol sablo-graveleux " . Il estime que la fatalité ne pouvait être exclue en tant que cause de survenance de l'accident (mémoire de recours ch. 6 p. 7). Or le caractère soudain de l'effondrement et la qualité du sol ne sauraient être qualifiées d'imprévisibles, dès lors que les normes de l'OTConst et les directives précitées visent précisément à éviter les risques liés aux fouilles, quel que soit le type de sol (cf. en particulier pièce 108 ch. 2). En tout état, il est rappelé que si l'expertise relève l'absence de signe avant-coureur visible de l'effondrement, elle précise que cela est caractéristique du sol en question et exclut ainsi l'imprévisibilité de l'événement en l'espèce.</w:t>
      </w:r>
    </w:p>
    <w:p>
      <w:r>
        <w:t>Par ailleurs, le recourant semble invoquer la faute concomitante de ses employés. C'est en vain qu'il se réfère à l'arrêt publié aux ATF 113 IV 58 , traitant de la coactivité dans une affaire d'homicide par négligence, dès lors qu'il lui est reproché d'avoir réalisé, par ses seuls agissements, les éléments constitutifs de l'infraction. Par ailleurs, l'existence de causes concomitantes ne suffit pas à interrompre le lien de causalité entre les omissions du recourant et le décès de la victime, étant précisé qu'il n'existe pas de compensation des fautes en droit pénal ( ATF 122 IV 17 consid. 2c/bb p. 24). Aussi, les fautes des autres travailleurs invoquées par le recourant ne l'exonèrent pas de ses propres manquements. Enfin, il ressort expressément de l'arrêt publié aux ATF 104 IV 96 , mis en exergue par le recourant, que le concours des fautes de l'entrepreneur et de la victime de l'accident n'exclut pas la faute de la direction des travaux (cf. consid. 4).</w:t>
      </w:r>
    </w:p>
    <w:p>
      <w:r>
        <w:t>Cela étant, c'est à bon droit que la cour cantonale a écarté toute rupture du lien de causalité.</w:t>
      </w:r>
    </w:p>
    <w:p>
      <w:r>
        <w:rPr>
          <w:b/>
        </w:rPr>
        <w:t>E. 5</w:t>
      </w:r>
    </w:p>
    <w:p>
      <w:r>
        <w:t>Le recourant ne développe aucun grief contre sa condamnation au paiement d'indemnités en faveur des proches de la victime, indépendamment de ses conclusions en acquittement. Au vu du sort du recours, il n'y a pas lieu d'entrer en matière sur ce point.</w:t>
      </w:r>
    </w:p>
    <w:p>
      <w:r>
        <w:rPr>
          <w:b/>
        </w:rPr>
        <w:t>E. 6</w:t>
      </w:r>
    </w:p>
    <w:p>
      <w:r>
        <w:t>En définitive,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