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6B_244/2015 vom 29. September 2015</w:t>
      </w:r>
    </w:p>
    <w:p>
      <w:r>
        <w:t>Bundesgericht, 2015-09-29, FR</w:t>
      </w:r>
    </w:p>
    <w:p>
      <w:r>
        <w:rPr>
          <w:b/>
        </w:rPr>
        <w:t xml:space="preserve">Quelle: </w:t>
      </w:r>
      <w:r>
        <w:t>https://mcp.opencaselaw.ch/entscheid/bger_6B_244_2015</w:t>
      </w:r>
    </w:p>
    <w:p>
      <w:r>
        <w:t>FR: TF 6B_244/2015 du 29 septembre 2015</w:t>
      </w:r>
    </w:p>
    <w:p>
      <w:r>
        <w:t>IT: TF 6B_244/2015 del 29 settembre 2015</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En l'espèce, les recourants se prétendent les victimes d'escroquerie de la part de l'intimé; sur la base de documents bancaires, ce dernier les aurait poussés à acquérir, auprès de sa propre société, les titres de C.________ Holdings, tout en sachant que la valeur de ceux-ci allait chuter. Les recourants soutiennent que le dommage résultant de ces agissements - allégués illicites - équivaudrait aux investissements consentis, soit EUR 1'326'152.- pour X.________, cinq millions d'euros s'agissant de Y.________ Ltd. et un million d'euros pour Z.________ Ltd. Dans le cadre de la recevabilité, ces explications suffisent, n'étant pas contesté que les recourants aient acquis des actions de C.________ Holdings et que le cours de celles-ci ait chuté, entraînant vraisemblablement pour eux une perte financière importante.</w:t>
      </w:r>
    </w:p>
    <w:p>
      <w:r>
        <w:t>Pour le surplus, les autres conditions de recevabilité étant remplies, il y a lieu d'entrer en matière.</w:t>
      </w:r>
    </w:p>
    <w:p>
      <w:r>
        <w:rPr>
          <w:b/>
        </w:rPr>
        <w:t>E. 2</w:t>
      </w:r>
    </w:p>
    <w:p>
      <w:r>
        <w:t>Invoquant le principe "in dubio pro duriore", les recourants reprochent à l'autorité précédente d'avoir retenu que les conditions d'application de l' art. 146 CP ne seraient pas remplies, notamment la tromperie astucieuse, ainsi que le dessein d'enrichissement illégitime.</w:t>
      </w:r>
    </w:p>
    <w:p>
      <w:r>
        <w:rPr>
          <w:b/>
        </w:rPr>
        <w:t>E. 2.1</w:t>
      </w:r>
    </w:p>
    <w:p>
      <w:r>
        <w:t>Aux termes de l' art. 146 CP ,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w:t>
      </w:r>
    </w:p>
    <w:p>
      <w:r>
        <w:t>Pour qu'il y ait escroquerie, une simple tromperie ne suffit pas. Il faut encore qu'elle soit astucieuse.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135 IV 76 consid. 5.2 p. 81 s. et les arrêts cités). L'astuce sera également admise lorsque l'auteur exploite un rapport de confiance préexistant propre à dissuader la dupe d'effectuer certaines vérifications ( ATF 126 IV 165 consid. 2a p. 171).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 ATF 135 IV 76 consid. 5.2 p. 81).</w:t>
      </w:r>
    </w:p>
    <w:p>
      <w:r>
        <w:t>Sur le plan subjectif, l'escroquerie est une infraction intentionnelle, l'intention devant porter sur tous les éléments constitutifs de l'infraction. L'auteur doit en outre agir dans le dessein de se procurer ou de procurer à un tiers un enrichissement illégitime ( ATF 134 IV 210 consid. 5.3 p. 213 s.).</w:t>
      </w:r>
    </w:p>
    <w:p>
      <w:r>
        <w:rPr>
          <w:b/>
        </w:rPr>
        <w:t>E. 2.2</w:t>
      </w:r>
    </w:p>
    <w:p>
      <w:r>
        <w:t>En l'occurrence, les recourants soutiennent que l'intimé les auraient incités à acheter, notamment auprès de sa propre société B.________ Ltd. - information qu'il n'aurait par ailleurs pas communiquée -, des titres de C.________ Holdings; or, l'intimé aurait été au courant que le cours de ces actions allaient fortement chuter dans les mois à venir. Les recourants prétendent également que, pour les convaincre de procéder à ces achats, l'intimé aurait utilisé des documents de D.________ SA, tout en sachant que celui-ci avait, en septembre 2010, mis un terme au mandat la liant à la société chinoise et ne l'autorisait pas à faire usage desdites pièces.</w:t>
      </w:r>
    </w:p>
    <w:p>
      <w:r>
        <w:t>Tout d'abord, il est peut-être possible que les motifs ayant poussé le D.________ SA à résilier son mandat ne se limitent pas au seul désaccord relatif au choix d'une étude d'avocats pour la poursuite de la procédure (cf. notamment le témoignage du banquier F.________ du 13 septembre 2012 ainsi que le courrier électronique du 9 septembre 2010]). Il n'en résulte pas pour autant que la banque aurait soupçonné le fondateur de C.________ Holdings ou celle-ci de malversations pénalement répréhensibles, leur étant reproché, en substance et à titre principal, un manque de transparence dans la gestion de la société. Il paraît ensuite avéré que l'intimé a eu connaissance de cette résiliation dès septembre 2010 (cf. l. 25 s. du procès-verbal du 4 septembre 2013). En revanche, peu importe à quel moment et par qui les recourants en ont été informés, dès lors, ainsi qu'eux-mêmes le déclarent, ce seraient les documents de la banque - et non pas la participation de cette dernière - qui auraient eu un rôle essentiel dans leur processus décisionnel. De plus, tel que relevé par la juridiction précédente, le représentant de Y.________ Ltd. a confirmé la poursuite des investissements postérieurement à cette information, prétendant certes - eu égard à sa qualité de partie plaignante - que tel n'aurait été le cas qu'en raison des arguments alors donnés par l'intimé (cf. l. 43 s. du procès-verbal du 13 novembre 2013).</w:t>
      </w:r>
    </w:p>
    <w:p>
      <w:r>
        <w:t>Quant à l'interdiction d'utilisation desdits documents, la cour cantonale a retenu à juste titre que l'instruction n'avait pas permis d'établir que l'intimé en aurait été informé préalablement au courrier de la banque du 20 janvier 2011. Si les recourants prétendent le contraire, ils ne citent pas pour autant d'élément au dossier qui viendrait appuyer cette thèse. Il ne résulte en particulier pas de la connaissance de ce fait par le frère de l'intimé que tel serait nécessairement le cas de ce dernier; les recourants ne l'affirment d'ailleurs pas et n'établissent aucun arbitraire quant aux faits retenus en instance cantonale.</w:t>
      </w:r>
    </w:p>
    <w:p>
      <w:r>
        <w:t>Sans remettre directement en cause la véracité du contenu des pièces bancaires, les recourants prétendent que l'intimé aurait été au courant du réel état financier de la société C.________ Holdings, notamment en raison de ses relations avec le fondateur de celle-ci. Ces allégations sont toutefois à nouveau dénuées de toute référence au dossier qui permettrait d'étayer leur version. La juridiction cantonale pouvait donc retenir sans arbitraire que, même au moment de l'interdiction d'utilisation formulée à l'attention de l'intimé par la banque en janvier 2011, celui-ci ne pouvait pas imaginer que les éléments figurant dans le "Information Memorandum" pourraient ne pas correspondre à la réalité de la situation économique de la société chinoise. Par conséquent, dans le cadre de la recherche d'investisseurs, la production de documents bancaires - qu'on rappellera de plus qualifiés de déterminants par les recourants - ne paraît pas dénuée de toute pertinence. Au demeurant, l'intimé, par l'intermédiaire de sa société, a également investi massivement dans C.________ Holdings jusqu'en décembre 2010 et, lors de la chute des cours, n'avait pas revendu l'ensemble des actions.</w:t>
      </w:r>
    </w:p>
    <w:p>
      <w:r>
        <w:t>Au vu des considérations précédentes, il apparaît que l'achat par la société B.________ Ltd. - dont les recourants semblent finalement reconnaître qu'ils n'ignoraient pas appartenir à l'intimé (cf. ad 17 du mémoire de recours) - d'actions C.________ Holdings, l'utilisation des pièces bancaires dans le cadre des démarches entreprises auprès des recourants et finalement la vente à ces derniers à un cours avantageux d'un grand nombre de titres constituent uniquement une opération de spéculation réussie pour l'intimé. En effet, n'ayant pas été établi que celui-ci aurait eu connaissance préalablement à ces actes de l'inconsistance de la société C.________ Holdings, ces démarches ne peuvent être considérées comme faisant partie d'un montage tendant à s'enrichir de manière illicite au détriment des recourants. Cela vaut d'autant plus que ceux-ci sont des professionnels de la finance, qui n'ont pas pu manquer l'avertissement donné par l'auteur du rapport bancaire sur l'absence de vérification de ses sources, ni procéder à des investissements importants sur la seule mention par l'intimé de possibles relations avec la famille G.________.</w:t>
      </w:r>
    </w:p>
    <w:p>
      <w:r>
        <w:t>C'est donc à juste titre que la Chambre des recours pénale a retenu que deux des conditions nécessaires à la réalisation de l'infraction d'escroquerie ( art. 146 CP ) - la tromperie astucieuse et le dessein d'enrichissement illégitime - n'étaient pas réalisées en l'espèce. Partant, elle pouvait confirmer, sans violer le droit fédéral ou le principe "in dubio pro duriore" ( ATF 138 IV 86 consid. 4.1.2 p. 91), le classement prononcé par le Ministère public ( art. 319 al. 1 let. b CPP ).</w:t>
      </w:r>
    </w:p>
    <w:p>
      <w:r>
        <w:rPr>
          <w:b/>
        </w:rPr>
        <w:t>E. 3</w:t>
      </w:r>
    </w:p>
    <w:p>
      <w:r>
        <w:t>Il s'ensuit que le recours doit être rejeté.</w:t>
      </w:r>
    </w:p>
    <w:p>
      <w:r>
        <w:t>Les recourants, qui succombent, supportent solidairement les frais judiciaires ( art. 66 al. 1 LTF ). Il n'est pas alloué de dépens ( art. 68 al. 1 et 3 LTF ), l'intimé A.________ n'ayant notamment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