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241/2025 vom 29. Juli 2025</w:t>
      </w:r>
    </w:p>
    <w:p>
      <w:r>
        <w:t>Bundesgericht, 2025-07-29, FR</w:t>
      </w:r>
    </w:p>
    <w:p>
      <w:r>
        <w:rPr>
          <w:b/>
        </w:rPr>
        <w:t xml:space="preserve">Quelle: </w:t>
      </w:r>
      <w:r>
        <w:t>https://mcp.opencaselaw.ch/entscheid/bger_6B_241_2025</w:t>
      </w:r>
    </w:p>
    <w:p>
      <w:r>
        <w:t>FR: TF 6B 241/2025 du 29 juillet 2025</w:t>
      </w:r>
    </w:p>
    <w:p>
      <w:r>
        <w:t>IT: TF 6B 241/2025 del 29 luglio 2025</w:t>
      </w:r>
    </w:p>
    <w:p>
      <w:pPr>
        <w:pStyle w:val="Heading2"/>
      </w:pPr>
      <w:r>
        <w:t>Regeste</w:t>
      </w:r>
    </w:p>
    <w:p>
      <w:r>
        <w:t>Entrave aux services d'intérêt général (arbitraire, principe in dubio pro reo); violation simple des règles de la circulation routière (concours d'infractions); liberté de réunion et d'association; liberté d'expression; atténuation de la peine | Droit pénal (en général)</w:t>
      </w:r>
    </w:p>
    <w:p>
      <w:pPr>
        <w:pStyle w:val="Heading2"/>
      </w:pPr>
      <w:r>
        <w:t>Erwägungen</w:t>
      </w:r>
    </w:p>
    <w:p>
      <w:r>
        <w:rPr>
          <w:b/>
        </w:rPr>
        <w:t>E. 1</w:t>
      </w:r>
    </w:p>
    <w:p>
      <w:r>
        <w:t>À plusieurs titres, le recourant conteste sa condamnation pour entrave aux services d'intérêt général. Il reproche ainsi à la cour cantonale d'avoir violé le principe in dubio pro reo , d'avoir procédé à un établissement manifestement inexact - donc arbitraire - des faits, et, en définitive, d'avoir violé l' art. 239 CP en le reconnaissant coupable de cette même infraction alors que l'état de fait ne permettrait pas d'apprécier l'ampleur de l'entrave reprochée.</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 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1.1.3</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1.2.1</w:t>
      </w:r>
    </w:p>
    <w:p>
      <w:r>
        <w:t>Suite au renvoi de la cause à la cour cantonale dans le but notamment de compléter l'état de fait en lien avec l' art. 239 CP (cf. supra consid. C), celle-ci a demandé et obtenu le rapport du 11 mars 2024 des TL. C'est sur cette base qu'elle a complété son état de fait, à tort selon le recourant.</w:t>
      </w:r>
    </w:p>
    <w:p>
      <w:r>
        <w:rPr>
          <w:b/>
        </w:rPr>
        <w:t>E. 1.2.2</w:t>
      </w:r>
    </w:p>
    <w:p>
      <w:r>
        <w:t>Du rapport précité et de ses annexes, il ressort notamment: - que seules les lignes 22 et 60 desservaient la rue Centrale en 2019 (ce qui est admis par le recourant); - que les lignes 18, 22 et 60 ont dû être déviées dès 10h15 en raison de la fermeture de la rue Centrale par les manifestants, plus précisément que la ligne 18 a dû faire demi-tour à la hauteur de l'arrêt Port-Franc et que le terminus des lignes 22 et 60 a dû être avancé en amont sur le parcours à la hauteur de l'arrêt Riponne; - que les bus 22-03 et 22-02 ont été bloqués sur la rue Centrale entre 10h15 et 11h03, respectivement 11h10; - que la ligne 18 a été rétablie à 10h40, alors que les lignes 22 et 60 ont été rétablies à 16h06, le dispositif de police sur la rue Centrale ayant été levé à 17h05; - qu'entre le début du blocage et la levée du dispositif de police, soit entre 10h15 et 17h05, 80 bus ont été concernés; - qu'en parallèle, dès 11h00, les lignes 1, 2, 4, 6, 7, 8, 9, 16, 17 et 29 ont été déviées et ont circulé avec 20 minutes de retard, leur rétablissement étant intervenu à 11h50 et leur remise à l'heure à 14h00.</w:t>
      </w:r>
    </w:p>
    <w:p>
      <w:r>
        <w:rPr>
          <w:b/>
        </w:rPr>
        <w:t>E. 1.2.3</w:t>
      </w:r>
    </w:p>
    <w:p>
      <w:r>
        <w:t>Sur la base des éléments qui précèdent, c'est à juste titre que la cour cantonale a retenu que par son comportement (i.e. sa participation à une manifestation non autorisée sur la rue Centrale le 14 décembre 2019), le recourant avait empêché 80 bus des lignes 22 et 60 de circuler normalement sur la rue Centrale entre 10h05 et 16h00 [ recte 16h06], soit durant six heures, sans que la mise en place d'un trafic alternatif sur cette artère n'ait été possible en raison de son complet blocage (jugement attaqué consid. D.2.2.2 et 3.3). À cela s'ajoute que la manifestation dans son ensemble a également causé brièvement l'interruption du trafic des TL pour toutes les lignes transitant par la place Saint-François, puis leur déviation et des retards compris entre 30 [ recte 20] et 40 minutes ( ibidem ), le tout avec la précision qu'à défaut d'avoir été informés à l'avance, les TL et les autorités n'ont pas été en mesure de prendre les mesures nécessaires ( ibidem consid. D.2.2.1 et 6.3, ce qui n'est plus contesté de manière reconnaissable à ce stade).</w:t>
      </w:r>
    </w:p>
    <w:p>
      <w:r>
        <w:rPr>
          <w:b/>
        </w:rPr>
        <w:t>E. 1.2.4</w:t>
      </w:r>
    </w:p>
    <w:p>
      <w:r>
        <w:t>Les différents éléments soulevés par le recourant ne sauraient permettre de parvenir à une conclusion différente. Ainsi, s'il est vrai que le rapport des TL du 11 mars 2024 ne distingue pas clairement sur quelle (s) ligne (s) les 80 bus ont été impactés, les horaires mentionnés permettent de comprendre qu'il s'agit bien des bus des lignes 22 et 60. À tout le moins, on ne décèle pas que l'appréciation cantonale à ce titre serait manifestement erronée, donc arbitraire (ce qui a au demeurant d'ores et déjà été confirmé par le Tribunal fédéral lors de l'examen d'autres causes portant sur la même manifestation du 14 décembre 2019, quoiqu'à l'aune du courrier des TL du 6 mars 2024 ne figurant étonnement pas au dossier de la présente cause; v. notamment l'arrêt 6B_134/2025 du 29 juillet 2025 consid. 1.2.4). Quant à l'argument selon lequel les bus des lignes 22 et 60 n'auraient pas été empêchés de circuler, mais uniquement déviés, le recourant omet que c'est une distinction que la cour cantonale a faite, avec la précision - non sans importance - que l'axe bloqué, soit la rue Centrale, n'a aucunement pu être desservi durant la manifestation. Or, nous verrons infra que ce dernier point est essentiel. Finalement, le recourant reproche à la cour cantonale de ne pas avoir déterminé avec précision les effets de la manifestation sur l'état du reste du réseau des TL, respectivement soutient que la majorité du réseau des TL serait resté opérationnel, faute de preuves contraires. Ce faisant, il omet que "les effets de la manifestation sur le reste du réseau" ne constitue que l'un des éléments potentiellement pertinents à prendre en compte dans le contexte de l' art. 239 CP et ne doit pas être érigé en condition sine qua non de sa réalisation (il sera revenu plus en détail sur cette question infra au moment d'examiner les éléments constitutifs de l' art. 239 CP ). Quoi qu'il en soit, il se trouve que la cour cantonale a bel et bien considéré que la manifestation avait - indirectement - causé l'interruption temporaire de toutes les lignes transitant par la place Saint-François, puis leur déviation et des retards compris entre 20 et 40 minutes (jugement attaqué consid. D.2.2.2).</w:t>
      </w:r>
    </w:p>
    <w:p>
      <w:r>
        <w:rPr>
          <w:b/>
        </w:rPr>
        <w:t>E. 1.2.5</w:t>
      </w:r>
    </w:p>
    <w:p>
      <w:r>
        <w:t>Il résulte de ce qui précède que la cour cantonale n'a pas violé le principe in dubio pro reo et qu'elle n'a pas fait preuve d'arbitraire dans l'établissement des faits ou l'appréciation des preuves. En cela, le grief du recourant doit être rejeté dans la mesure de sa recevabilité. Reste à déterminer si, sur la base de l'état de fait cantonal tel qu'il découle du jugement attaqué (cf. art. 105 al. 1 LTF ), elle pouvait le condamner pour entrave aux services d'intérêt général, en particulier si l'élément constitutif de l'entrave (d'une intensité suffisante) est donné en l'espèce.</w:t>
      </w:r>
    </w:p>
    <w:p>
      <w:r>
        <w:rPr>
          <w:b/>
        </w:rPr>
        <w:t>E. 1.3.1</w:t>
      </w:r>
    </w:p>
    <w:p>
      <w:r>
        <w:t>Au fond, avec la cour cantonale, il y a tout d'abord lieu de confirmer que les faits entrent dans le champ d'application de l' art. 239 CP , dans la mesure où c'est bien une entreprise de transport public (i.e. les TL), respectivement l'entrave des services de celle-ci, qui est en cause.</w:t>
      </w:r>
    </w:p>
    <w:p>
      <w:r>
        <w:rPr>
          <w:b/>
        </w:rPr>
        <w:t>E. 1.3.2</w:t>
      </w:r>
    </w:p>
    <w:p>
      <w:r>
        <w:t>Quant à l'existence même d'une entrave, elle ressort indubitablement de l'état de fait cantonal, l'impossibilité pour les TL d'exploiter normalement leurs lignes 22 et 60 sur la rue Centrale constituant justement une entrave au sens de l' art. 239 CP . L'argumentaire du recourant selon lequel la mise en place de déviations sur les lignes précitées exclurait toute forme d'entrave tombe à faux, dans la mesure où la lettre de la disposition précitée prévoit, outre "l'empêchement", également le "trouble" à l'exploitation d'une entreprise publique de transports. En l'espèce, c'est donc à tout le moins sous cette dernière forme que l'entrave s'est matérialisée. Reste à déterminer si cette entrave était d'une intensité suffisante au regard de la jurisprudence citée supra au consid. 1.1.1 in fine .</w:t>
      </w:r>
    </w:p>
    <w:p>
      <w:r>
        <w:rPr>
          <w:b/>
        </w:rPr>
        <w:t>E. 1.3.3</w:t>
      </w:r>
    </w:p>
    <w:p>
      <w:r>
        <w:t>S'agissant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 recourant et ses comparses ont duré entre 10h05 et 16h06 (voire 17h05, si l'on en croit le rapport du 11 mars 2024), soit à tout le moins durant six heures, cela sans même aborder les perturbations indirectes ressenties au niveau de la place Saint-François. Si l'état de fait cantonal ne permet pas d'établir concrètement le retard pris par chacun des bus des lignes 22 et 60 en raison de la mise en place de déviations, il n'en demeure pas moins que 80 bus ont été concernés par celles-ci, et que donc, par accumulation, même de faibles retards individuels sur ces lignes ont finalement été globalement importants. Dans la mesure où une perturbation d'une heure trente a d'ores et déjà été qualifiée d'entrave importante (cf. ATF 116 IV 44 consid. 2d) et que cette durée est largement dépassée en l'espèce, que ce soit pour la durée générale ou concrète des perturbations, rien ne justifie qu'il en aille différemment ici, du moins à l'aune de ce critère purement temporel. S'agissant encore de l'ampleur de l'entrave, il ressort de l'état de fait cantonal que 80 bus des lignes 22 et 60, mais également toutes les lignes transitant par la place Saint-François (à tout le moins indirectement) ont été concernés durant 6 heures, qui plus est sur leur parcours respectif en plein centre de la capitale vaudoise. À cela s'ajoute que tous les bus de la ligne 18 ont dû être déviés entre 10h15 et 10h40, mais également que deux bus de la ligne 22 ont été bloqués durant près d'une heure sur la rue Centrale. Dans la mesure où ce qui précède a nécessairement impacté un nombre non négligeable d'usagers des transports publics sur plusieurs lignes et durant plusieurs heures, qui plus est dans une zone notoirement centrale et fréquentée de Lausanne, et étant rappelé que l' art. 239 CP tend justement à protéger l'intérêt du public à ce que certaines entreprises fournissent leurs services sans perturbation (cf. supra consid. 1.1.1), il y a lieu de confirmer, avec la cour cantonale, que l'entrave doit être qualifiée d'importante à ce titre également. C'est finalement le lieu de revenir sur l'argument du recourant selon lequel l'entrave au sens de l' art. 239 CP devrait obligatoirement toucher l'ensemble ou la majeure partie du service. Une telle conception - au demeurant jamais confirmée par la jurisprudence fédérale - ne saurait être suivie. Pour cause, des entreprises comme les TL ou les CFF ne peuvent être comparées à l'exploitation isolée d'un funiculaire ou d'une télécabine. Si la seconde peut aisément être entravée complètement, compte tenu de sa taille et de la surface de son réseau, une entrave complète ou substantielle des premières est difficilement concevable, ne serait-ce qu'en raison de l'étendue des réseaux en question ou des mesures assurément mises en place pour éviter un blocage complet. À suivre l'avis exprimé par le recourant, l'entrave du service des entreprises précitées (notamment) ne pourrait dès lors jamais tomber sous le coup de l' art. 239 CP , ce qui n'était assurément pas la volonté du législateur. Bien au contraire, l'ampleur de l'entrave doit s'examiner concrètement à l'aune des circonstances propres à chaque cas d'espèce.</w:t>
      </w:r>
    </w:p>
    <w:p>
      <w:r>
        <w:rPr>
          <w:b/>
        </w:rPr>
        <w:t>E. 1.4</w:t>
      </w:r>
    </w:p>
    <w:p>
      <w:r>
        <w:t>Pour le surplus, le recourant ne discute pas de la violation du droit fédéral en lien avec les autres éléments constitutifs de l'infraction prévue à l' art. 239 CP , de sorte que la cause ne sera pas revue sous cet angle.</w:t>
      </w:r>
    </w:p>
    <w:p>
      <w:r>
        <w:rPr>
          <w:b/>
        </w:rPr>
        <w:t>E. 2</w:t>
      </w:r>
    </w:p>
    <w:p>
      <w:r>
        <w:t>Dans un grief distinct, le recourant expose que les infractions réprimées par les art. 90 LCR et 239 CP retenues à sa charge n'entreraient pas en concours idéal au motif que la violation des dispositions de la LCR seraient en lien immédiat avec la prétendue violation de l' art. 239 CP . Selon lui, l' art. 239 CP absorberait dès lors l' art. 90 al. 1 LCR . Dans la mesure où le Tribunal fédéral s'est récemment prononcé de manière extensive sur cette question dans une cause similaire (cf. arrêt 6B_860/2024 du 23 juin 2025 consid. 1.5), l'on peut s'y référer et, conséquemment, rejeter le grief soulevé par le recourant.</w:t>
      </w:r>
    </w:p>
    <w:p>
      <w:r>
        <w:rPr>
          <w:b/>
        </w:rPr>
        <w:t>E. 3</w:t>
      </w:r>
    </w:p>
    <w:p>
      <w:r>
        <w:t>Le recourant fait valoir que sa condamnation consacrerait une violation de sa liberté de réunion pacifique ( art. 11 CEDH et 22 Cst.) et de sa liberté d'expression ( art. 10 CEDH et 16 Cst.).</w:t>
      </w:r>
    </w:p>
    <w:p>
      <w:r>
        <w:rPr>
          <w:b/>
        </w:rPr>
        <w:t>E. 3.1.1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3.1.2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 arrêts 1C_28/2024 précité consid. 3.1; 6B_1460/2022 précité consid. 10.1.1).</w:t>
      </w:r>
    </w:p>
    <w:p>
      <w:r>
        <w:rPr>
          <w:b/>
        </w:rPr>
        <w:t>E. 3.1.3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 Navalnyy c. Russie du 15 novembre 2018 [GC], § 98; Kudrevicius et autres , § 91; 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3.2</w:t>
      </w:r>
    </w:p>
    <w:p>
      <w:r>
        <w:t>Compte tenu des considérations qui précèdent, il s'agit d'examiner si les faits relèvent des art. 16 Cst. et 10 CEDH, respectivement des art. 22 Cst. et 11 CEDH (cf. infra consid. 3.3), mais encore si l'ingérence / la restriction (i.e. la condamnation pénale du recourant) était justifiée, car étant prévue par la loi / fondée sur une base légale (cf. infra consid. 3.4), poursuivant des buts légitimes au regard des dispositions idoines / étant justifiée par un intérêt public ou par la protection d'un droit fondamental d'autrui (cf. infra consid. 3.5), et respectant le critère de la "nécessité dans une société démocratique" / la proportionnalité (cf. infra consid. 3.6).</w:t>
      </w:r>
    </w:p>
    <w:p>
      <w:r>
        <w:rPr>
          <w:b/>
        </w:rPr>
        <w:t>E. 3.3</w:t>
      </w:r>
    </w:p>
    <w:p>
      <w:r>
        <w:t>Il n'est pas contesté que le recourant a pris part à une manifestation poursuivant un but politique, dans le cadre de laquelle il ne s'est vu reprocher aucun acte spécifique de violence ou des intentions violentes. De même, il n'est pas contesté que la condamnation pénale du recourant constitue une ingérence / une restriction dans l'exercice de son droit à la liberté de réunion tel que garanti par les art. 22 Cst. et 11 CEDH (v. notamment l'arrêt 6B_1460/2022 précité consid. 10.2 et les références citées),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limitée de ses actes, à savoir le blocage délibéré d'un axe routier comme but principal, le recourant ne saurait se prévaloir de son droit à la liberté d'expression en l'espèce ( Barraco , §§ 26, 27 et 39; Lucas ; v. également: Conseil de l'Europe, Guide sur l'article 11 de la Convention européenne des droits de l'homme, dans sa version du 28 février 2023, n o 10). Tout au plus les art. 22 Cst. et 11 CEDH pourraient-ils être lus à la lumière des art. 16 Cst. et 10 CEDH. Les éléments qui précèdent permettent de conclure que le recourant est en droit d'invoquer les garanties des art. 22 Cst. et 11 CEDH, lesquels trouvent dès lors à s'appliquer en l'espèce, étant précisé que les agissements reprochés à ce dernier ne sont pas au coeur de la liberté protégée par ces dispositions ( Kudrevicius et autres , § 97; Barraco , § 39).</w:t>
      </w:r>
    </w:p>
    <w:p>
      <w:r>
        <w:rPr>
          <w:b/>
        </w:rPr>
        <w:t>E. 3.4</w:t>
      </w:r>
    </w:p>
    <w:p>
      <w:r>
        <w:t>Le recourant conteste que l'ingérence dans l'exercice de son droit à la liberté de réunion repose sur des bases légales de qualité suffisante au sens de l' art. 11 par. 2 CEDH , respectivement que la restriction à son droit fondamental soit fondée sur une base légale au sens de l' art. 36 al. 2 Cst. , ce en lien avec toutes les dispositions appliquées. Il estime qu'en participant à une manifestation pacifique sans l'organiser et sans adopter le moindre comportement répréhensible, il ne pouvait s'attendre à être condamné à ce titre.</w:t>
      </w:r>
    </w:p>
    <w:p>
      <w:r>
        <w:rPr>
          <w:b/>
        </w:rPr>
        <w:t>E. 3.4.1</w:t>
      </w:r>
    </w:p>
    <w:p>
      <w:r>
        <w:t>En vertu de l' art. 7 par. 1 CEDH , nul ne peut être condamné pour une action ou une omission qui, au moment où elle a été commise, ne constituait pas une infraction d'après le droit national ou international, alors qu'en vertu de l' art. 11 par. 2 CEDH , toute ingérence doit être " prévue par la loi ". Cette notion impose non seulement que la mesure incriminée ait une base en droit interne, mais vise aussi la qualité de la loi en cause. Ainsi, celle-ci doit être accessible au justiciable et prévisible quant à ses effets (arrêts de la CourEDH NIT S.R.L c. Moldavie du 5 avril 2022 [GC], § 158; Kudrevicius et autres , §§ 108 à 110). Doit à tout le moins être considérée comme "accessible" la loi publiée au journal officiel national, bien que la CEDH ne renferme aucune exigence spécifique quant au niveau de publicité à lui donner ( NIT S.R.L , § 163; Guide sur l'article 10 de la Convention européenne des droits de l'homme, op. cit. , n 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 Perinçek c. Suisse du 15 octobre 2015 [GC], Recueil CourEDH 2015-VI p. 291 , § 131; 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 Magyar Kétfarkú Kutya Párt c. Hongrie du 20 janvier 2020 [GC], § 94). Il en va de même de la loi qui peut se prêter à plus d'une interprétation (arrêt de la CourEDH Anatoliy Yeremenko c. Ukraine du 15 septembre 2022, § 51).</w:t>
      </w:r>
    </w:p>
    <w:p>
      <w:r>
        <w:rPr>
          <w:b/>
        </w:rPr>
        <w:t>E. 3.4.2</w:t>
      </w:r>
    </w:p>
    <w:p>
      <w:r>
        <w:t>D'emblée, il convient de relever que la condamnation du recourant pour violation des art. 239 CP , 286 CP et 90 LCR ne visait pas à empêcher ou punir sa participation à la manifestation en tant que telle, mais à réprimer les comportements adoptés par celui-ci à cette occasion, consistant en substance à entraver le trafic et le bon fonctionnement de plusieurs lignes de bus des TL sur un axe majeur de la capitale vaudoise durant de nombreuses heures. Du reste, il n'appert pas que les dispositions en cause viseraient avant tout d'autres comportements que ceux qui sont imputés au recourant ou qu'elles seraient formulées d'une telle manière qu'en s'entourant au besoin de conseils éclairés, il n'aurait pu prévoir à un degré raisonnable qu'elles seraient amenées à s'appliquer dans le cas d'espèce. Il était par ailleurs notoire au moment des faits que la participation à une manifestation pacifique non autorisée pouvait entraîner, selon les circonstances, des poursuites pénales (v. l'action du 15 mars 2019 ayant donné lieu à l'arrêt 6B_145/2021 du 3 janvier 2022, l'action du 13 octobre 2018 ayant donné lieu à l'arrêt 6B_620/2022 du 30 mars 2023, ou l'action du 22 novembre 2018 ayant donné lieu à l'arrêt 6B_282/2022 du 13 janvier 2023). Finalement, le recourant ne prétend pas que les dispositions en cause auraient été utilisées dans un contexte particulier comme une période électorale (v. Magyar Kétfarkú Kutya Párt , § 99), qu'elles offriraient une trop large latitude aux autorités pénales dans le choix de poursuivre de laquelle il résulterait des abus ou une application sélective de la loi (v. arrêt de la CourEDH Savva Terentyev c. Russie du 28 août 2018, § 85) ou encore qu'elles accorderaient un pouvoir discrétionnaire et arbitraire à l'État (v. arrêt de la CourEDH Karastelev et autres c. Russie du 6 octobre 2020, §§ 78 à 97). Partant, il convient de rejeter le grief du recourant et de confirmer que sa condamnation repose sur des bases légales suffisantes au sens des art. 36 al. 2 Cst. , 7 par. 1 et 11 par. 2 CEDH.</w:t>
      </w:r>
    </w:p>
    <w:p>
      <w:r>
        <w:rPr>
          <w:b/>
        </w:rPr>
        <w:t>E. 3.5</w:t>
      </w:r>
    </w:p>
    <w:p>
      <w:r>
        <w:t>Le recourant soutient que l'ingérence / la restriction dans l'exercice de son droit à la liberté de réunion ne poursuivait pas un but légitime au sens des art. 11 par. 2 CEDH et 36 al. 2 Cst. À ce titre, il invoque notamment que le but poursuivi par les autorités était limité à le sanctionner pour sa participation à une manifestation non autorisée.</w:t>
      </w:r>
    </w:p>
    <w:p>
      <w:r>
        <w:rPr>
          <w:b/>
        </w:rPr>
        <w:t>E. 3.5.1</w:t>
      </w:r>
    </w:p>
    <w:p>
      <w:r>
        <w:t>Toute ingérence dans l'exercice du droit à la liberté de réunion doit poursuivre un but légitime ( art. 11 par. 2 CEDH ), soit en particulier ceux énumérés au second paragraphe de cette disposition (défense de l'ordre et protection des droits d'autrui). En principe, la CourEDH admet après un examen sommaire que les mesures en question poursuivaient l'un ou l'autre de ces buts, voire les deux, sauf si dites mesures étaient manifestement dénuées de pertinence dans les circonstances propres à l'espèce (Conseil de l'Europe, Guide sur l'article 11 de la Convention européenne des droits de l'homme, dans sa version du 28 février 2023, n° 62), même si l'intéressé avance des arguments solides donnant à penser qu'elle visait en réalité un but inavoué, non conventionnel ( Navalnyy , § 120). La CourEDH a également relevé que les buts légitimes invoqués par l'État concerné devaient être interprétés avec une certaine souplesse ( ibidem ).</w:t>
      </w:r>
    </w:p>
    <w:p>
      <w:r>
        <w:rPr>
          <w:b/>
        </w:rPr>
        <w:t>E. 3.5.2</w:t>
      </w:r>
    </w:p>
    <w:p>
      <w:r>
        <w:t>En l'espèce, il est établi que la manifestation non autorisée à laquelle le recourant a participé a engendré de fortes perturbations et l'interruption de tout le trafic sur l'un des principaux axes de circulation de Lausanne durant à tout le moins six heures.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(jugement attaqué consid. D.2.2., 3.3 et 6.3).</w:t>
      </w:r>
    </w:p>
    <w:p>
      <w:r>
        <w:rPr>
          <w:b/>
        </w:rPr>
        <w:t>E. 3.5.3</w:t>
      </w:r>
    </w:p>
    <w:p>
      <w:r>
        <w:t>De ce qui précède et du jugement attaqué, on peut déduire que la condamnation du recourant poursuivait un but triple, à savoir la sûreté publique (en particulier la sécurité de la circulation compte tenu de la présence des manifestants sur la route, mais également celle des nombreuses personnes amenées à se déplacer sur cet axe central), la défense de l'ordre (dans la mesure notamment où la manifestation n'était pas autorisée) et la protection des droits et libertés d'autrui (notamment le droit de circuler sans contrainte sur la voie publique et d'emprunter les transports publics). Il est relevé que de tels buts ont régulièrement été approuvés par la CourEDH dans des situations similaires (v. Kudrevicius et autres , § 140 et les nombreuses références), celle-ci ayant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et justifier l'imposition de sanctions pénales (arrêts 6B_1486/2022 du 5 février 2024 consid. 9.4.4; 6B_1098/2022 du 31 juillet 2023 consid. 6.1.4; 6B_655/2022 du 31 août 2022 consid. 4.5; Kudrevicius et autres , §§ 173-174; Barraco , §§ 46-47). En définitive, rien ne laisse entendre que les mesures prises poursuivaient un but inavoué, limité à dissuader le recourant à manifester. Par ailleurs, il est notoire que de nombreuses manifestations autorisées concernant la problématique climatique, réunissant plusieurs milliers de personnes, ont pu se dérouler dans plusieurs villes suisses, dont Lausanne (arrêt 6B_145/2021 précité consid. 4.5). On ne saurait ainsi inférer un quelconque but inavoué des autorités en l'espèce.</w:t>
      </w:r>
    </w:p>
    <w:p>
      <w:r>
        <w:rPr>
          <w:b/>
        </w:rPr>
        <w:t>E. 3.6</w:t>
      </w:r>
    </w:p>
    <w:p>
      <w:r>
        <w:t>Reste à déterminer si la condamnation du recourant était compatible avec le critère de la "nécessité dans une société démocratique" de l' art. 11 par. 2 CEDH , respectivement avec la proportionnalité requise par l' art. 36 al. 3 Cst. , ce que le précité soutient ne pas être le cas, notamment pour les motifs suivants: - lors de la manifestation du 14 décembre 2019, il n'a fait preuve d'aucune violence et n'a causé aucun trouble ou dommage; - les autorités avaient connaissance de la manifestation et étaient ainsi en mesure de garantir le bon déroulement de celle-ci; - le but poursuivi, soit informer le public et les autorités sur le changement climatique et ses effets, était louable; - les perturbations sont restées de faible intensité.</w:t>
      </w:r>
    </w:p>
    <w:p>
      <w:r>
        <w:rPr>
          <w:b/>
        </w:rPr>
        <w:t>E. 3.6.1.1</w:t>
      </w:r>
    </w:p>
    <w:p>
      <w:r>
        <w:t>Il existe, en principe, sur la base du droit à la liberté de réunion et du droit à la liberté d'expression, un droit conditionnel à l'usage accru du domaine public pour des manifestations avec appel au public ( ATF 148 I 33 consid. 6.2; 147 IV 297 consid. 3.1.2; 144 I 50 consid. 6.3; 143 I 147 consid. 3.2).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du 8 octobre 2024 consid. 3.3.2; confirmé également par la CourEDH dans les arrêts Kudrevicius et autres , § 147; Primov et autres c. Russie du 12 juin 2014, § 117).</w:t>
      </w:r>
    </w:p>
    <w:p>
      <w:r>
        <w:rPr>
          <w:b/>
        </w:rPr>
        <w:t>E. 3.6.1.2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127 I 164 consid. 3).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132 I 256 consid. 3). Cette pesée des intérêts doit reposer sur une analyse objective des éléments concrets du cas d'espèce et respecter la proportionnalité ( ATF 143 I 147 consid. 3.2; 132 I 256 consid. 3; arrêt 1C_28/2024 précité consid. 3.3.5 et 5.4).</w:t>
      </w:r>
    </w:p>
    <w:p>
      <w:r>
        <w:rPr>
          <w:b/>
        </w:rPr>
        <w:t>E. 3.6.1.3</w:t>
      </w:r>
    </w:p>
    <w:p>
      <w:r>
        <w:t>Les autorités étant en droit d'exiger une autorisation, elles doivent pouvoir sanctionner ceux qui participent à une manifestation ne satisfaisant pas à cette condition, faute de quoi un système d'autorisation deviendrait illusoire (arrêts de la CourEDH Kudrevicius et autres , § 149 et les références citées; Primov et autres , § 118; Ziliberberg c. Moldavie du 4 mai 2004, § 2; v. également: Guide sur l'article 11 de la Convention européenne des droits de l'homme, op. cit ., n o 95).</w:t>
      </w:r>
    </w:p>
    <w:p>
      <w:r>
        <w:rPr>
          <w:b/>
        </w:rPr>
        <w:t>E. 3.6.1.4</w:t>
      </w:r>
    </w:p>
    <w:p>
      <w:r>
        <w:t>Toutefois, en l'absence d'actes de violence, les pouvoirs publics doivent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du 12 décembre 2022 consid. 3.2.4; arrêts de la CourEDH Laguna Guzman c. Espagne du 6 octobre 2020, § 50; Navalnyy et Yashin,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République de Moldavie du 28 mars 2017, § 37; Kudrevicius et autres , § 149;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6B_1098/2022 précité consid. 6.1.4;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 Primov et autres ,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 v. également, en lien avec l' art. 10 CEDH , Ludes et autres c. France du 3 juillet 2025, § 95).</w:t>
      </w:r>
    </w:p>
    <w:p>
      <w:r>
        <w:rPr>
          <w:b/>
        </w:rPr>
        <w:t>E. 3.6.2</w:t>
      </w:r>
    </w:p>
    <w:p>
      <w:r>
        <w:t>En l'espèce, pour les raisons décrites infra notamment, il y a lieu de constater avec la cour cantonale que la condamnation du recourant n'est pas contraire aux art. 11 CEDH et/ou 22 Cst.</w:t>
      </w:r>
    </w:p>
    <w:p>
      <w:r>
        <w:rPr>
          <w:b/>
        </w:rPr>
        <w:t>E. 3.6.2.1</w:t>
      </w:r>
    </w:p>
    <w:p>
      <w:r>
        <w:t>Avant toute chose, il convient de clarifier deux points soulevés à tort par le recourant. Ainsi, il n'a jamais été question en l'espèce de le condamner pour sa participation à une manifestation non autorisée, respectivement pour avoir usé de sa liberté de réunion. Bien au contraire, sa condamnation résulte de la commission de plusieurs infractions distinctes dans le cadre de la manifestation pacifique précitée, infractions qui n'étaient aucunement nécessaires pour permettre l'exercice de cette liberté ou en lien direct avec celle-ci. L'on ne saurait dès lors se rallier à la situation dépeinte par le recourant à l'appui de son argumentaire. Quant à la tolérance dont ont fait preuve les forces de l'ordre, elle devait porter sur la tenue même de la manifestation, donc l'exercice par le recourant et ses comparses de leur liberté de réunion. Cela explique pourquoi il n'a été mis fin à la manifestation qu'après un certain délai (les manifestants ne l'ayant pas fait de leur propre chef), alors que la dissolution trop expéditive de celle-ci aurait pu être qualifiée d'ingérence contraire à l' art. 11 CEDH . En revanche, cette tolérance ne portait pas et n'avait pas à porter sur d'éventuelles infractions commises durant la manifestation, en marge de celle-ci, encore moins sur l'éventuelle procédure pénale qui serait engagée par la suite. Que les forces de l'ordre aient temporairement toléré une manifestation non autorisée pour leur permettre d'exercer leur liberté de réunion n'excluait en rien que celle-ci fasse, par la suite, l'objet de poursuites pénales (cf. supra consid. 3.6.1).</w:t>
      </w:r>
    </w:p>
    <w:p>
      <w:r>
        <w:rPr>
          <w:b/>
        </w:rPr>
        <w:t>E. 3.6.2.2</w:t>
      </w:r>
    </w:p>
    <w:p>
      <w:r>
        <w:t>Cela étant, il est relevé que le recourant a sciemment accepté de participer à une manifestation non autorisée (arrêt attaqué consid. 3.3), alors qu'il eût été possible de demander une autorisation, compte tenu du fait que sa tenue n'était pas spontanée mais était organisée à l'avance et concertée ( ibidem consid. D.2.2.1),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à Lausanne (v. supra consid. 3.5.3), le recourant disposait d'autres moyens légitimes pour protéger ses intérêts, à savoir notamment l'initiative populaire tendant à la révision partielle de la Constitution fédérale ( art. 139 Cst. ), éventuellement le référendum facultatif pour contester une loi n'allant selon lui pas dans le sens des intérêts climatiques ( art. 141 Cst. ; en ce sens, v. 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non-autorisée par le besoin soudain de réagir à un événement particulier (en ce sens, v. Kudrevicius et autres , § 167). S'il est vrai que les outils démocratiques précités n'offrent par nature pas de résultats immédiats, ils n'en demeurent pas moins des outils licites ayant 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mais encore de la votation du 9 février 2025 (initiative pour la responsabilité environnementale).</w:t>
      </w:r>
    </w:p>
    <w:p>
      <w:r>
        <w:rPr>
          <w:b/>
        </w:rPr>
        <w:t>E. 3.6.2.3</w:t>
      </w:r>
    </w:p>
    <w:p>
      <w:r>
        <w:t>La volonté initiale du recourant, à savoir la participation à une action de blocage sous l'égide d'un mouvement prônant notoirement la désobéissance civile de masse (jugement attaqué consid. D.2.2.1 et 3.3), doit également être prise en compte dans la pesée des intérêts.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w:t>
      </w:r>
    </w:p>
    <w:p>
      <w:r>
        <w:rPr>
          <w:b/>
        </w:rPr>
        <w:t>E. 3.6.2.4</w:t>
      </w:r>
    </w:p>
    <w:p>
      <w:r>
        <w:t>Quant à la manifestation en tant que telle, elle a engendré d'importantes perturbations de la vie quotidienne, notamment pour la circulation routière et le trafic des transports publics (jugement attaqué consid. D.2.2, et 3.3), qui ont dû être entièrement coupés sur la rue Centrale durant à tout le moins six heures, en raison de la présence des manifestants, de blocs en béton et de palettes en bois au milieu des voies de circulation. Un total de 80 bus ont, en définitive, été empêchés de circuler sur le lieu de la manifestation. L'ampleur de ces perturbations était d'autant plus grande que le recourant a agi un samedi, durant la période des fêtes de fin d'année, en plein coeur du centre-ville de la capitale vaudoise, notoirement fréquenté à cette période. À cet égard, la CourEDH a eu l'occasion de juger que l'obstruction complète d'un axe routier allait manifestement au-delà de la simple gêne occasionnée par toute manifestation sur la voie publique ( Barraco , § 46). Il y a aussi lieu de constater que les troubles engendrés par la manifestation étaient excessifs quant à leur durée, soit plus de six heures, étant relevé à titre d'exemple que dans une affaire similaire, la CourEDH a jugé que la condamnation pénale de celui ayant entraîné le blocage partiel d'une autoroute durant cinq heures n'était pas contraire à l' art. 11 CEDH ( Barraco , §§ 7, 8 et 47).</w:t>
      </w:r>
    </w:p>
    <w:p>
      <w:r>
        <w:rPr>
          <w:b/>
        </w:rPr>
        <w:t>E. 3.6.2.5</w:t>
      </w:r>
    </w:p>
    <w:p>
      <w:r>
        <w:t>À l'inverse, il découle de ce qui précède que le recourant a pu exercer durant plusieurs heures son droit à la liberté de réunion pacifique avant que la police n'intervienne, d'une manière qui n'a pas concrètement fait l'objet de contestations de sa part et après plusieurs avertissements. À cet égard, la cour cantonale a considéré à juste titre que la police avait fait preuve de tolérance (jugement attaqué consid. 6.3). De plus, le recourant ne s'est vu infliger qu'une sanction légère, soit une peine pécuniaire avec sursis et une amende de 200 francs. En cela également, les autorités ont fait preuve de la tolérance nécessaire qu'il convient d'adopter envers de tels rassemblements (Barraco, § 47; en ce sens, v. également Ludes et autres , § 117).</w:t>
      </w:r>
    </w:p>
    <w:p>
      <w:r>
        <w:rPr>
          <w:b/>
        </w:rPr>
        <w:t>E. 3.6.2.6</w:t>
      </w:r>
    </w:p>
    <w:p>
      <w:r>
        <w:t>Finalement, il découle de l'état de fait cantonal que le recourant et ses comparses avaient initialement l'intention de manifester sur la place Saint-François, ce qu'ils ont annoncé aux autorités concernées, sans pour autant demander d'autorisation formelle en ce sens et en se contentant de revendications sans précision quant à la durée et à l'itinéraire prévu (jugement attaqué consid. D.2.2.1). De l'aveu même du recourant, le but de cette annonce était de permettre aux autorités de prendre les mesures nécessaires pour éviter toute entrave à la circulation. Pourtant, le 14 décembre 2019, à son arrivée sur la place Saint-François, après avoir constaté que la police s'y tenait prête à bloquer tout arrivage de logistique ( ibidem , en particulier la référence au rapport de police du 16 décembre 2019) - et non à interdire purement et simplement la manifestation - les manifestants ont pris la décision de dernière minute de porter leur action sur la rue Centrale, ce dont il n'avait jamais été question jusqu'ici. Cela a eu pour conséquence que les forces de l'ordre n'ont pas pu prendre à l'avance les mesures nécessaires relatives au nouvel emplacement choisi, et qu'elles ont été débordées par la situation (jugement attaqué consid. 3.3 et 6.3). Le choix du recourant ne peut se justifier d'aucune manière. Alors qu'il disposait d'un lieu d'ores et déjà sécurisé par la police - de surcroît beaucoup plus adapté à la réunion d'un grand nombre de personnes puisqu'il s'agit d'une place en grande partie piétonne, alors que la rue Centrale est bordée de deux étroits trottoirs - pour se réunir et faire valoir ses revendications, face à un public au moins aussi important, il a décidé de changer d'emplacement dans le seul but de pouvoir mener à bien son action de blocage au moyen de sa personne, de blocs en béton et de palettes en bois. Cette modification ne répondait à aucun autre impératif. Il est rappelé que de tels agissements ont des conséquences allant manifestement au-delà de la simple gêne occasionnée par toute manifestation sur la voie publique et qu'ils ne sauraient bénéficier de la protection privilégiée de l' art. 11 CEDH .</w:t>
      </w:r>
    </w:p>
    <w:p>
      <w:r>
        <w:rPr>
          <w:b/>
        </w:rPr>
        <w:t>E. 3.7</w:t>
      </w:r>
    </w:p>
    <w:p>
      <w:r>
        <w:t>Eu égard à l'ensemble des considérations ci-dessus, il est constaté que la sanction pénale imposée au recourant ne consacre pas une violation de sa liberté de réunion garantie par les art. 11 CEDH et 22 Cst. Au contraire, elle résulte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4</w:t>
      </w:r>
    </w:p>
    <w:p>
      <w:r>
        <w:t>Dans un dernier grief, le recourant reproche à la cour cantonale de ne pas l'avoir mis au bénéfice des art. 52 ou 48 let. a ch. 1 CP, estimant en substance que sa culpabilité serait faible, respectivement que ses motivations auraient été particulièrement nobles.</w:t>
      </w:r>
    </w:p>
    <w:p>
      <w:r>
        <w:rPr>
          <w:b/>
        </w:rPr>
        <w:t>E. 4.1.1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4.1.2</w:t>
      </w:r>
    </w:p>
    <w:p>
      <w:r>
        <w:t>Pour sa part, l' art. 48 let. a ch. 1 CP prévoit que le juge atténue la peine si l'auteur a agi en cédant à un mobile honorable. Déterminer les mobiles de l'auteur, comme tout ce qui a trait au contenu de la pensée, est une question de fait, alors que savoir si les mobiles retenus sont honorables est une question de droit fédéral ( ATF 149 IV 217 consid. 1.3.1; 128 IV 53 consid. 3).</w:t>
      </w:r>
    </w:p>
    <w:p>
      <w:r>
        <w:rPr>
          <w:b/>
        </w:rPr>
        <w:t>E. 4.2</w:t>
      </w:r>
    </w:p>
    <w:p>
      <w:r>
        <w:t>La cour cantonale a considéré, quand bien même le recourant avait agi pour défendre une cause idéale, que ses actes n'avaient pas été sans conséquence pour les nombreux usagers touchés. Elle a encore relevé que la culpabilité du recourant ne devait pas être sous-estimée (jugement attaqué consid. 7.3).</w:t>
      </w:r>
    </w:p>
    <w:p>
      <w:r>
        <w:rPr>
          <w:b/>
        </w:rPr>
        <w:t>E. 4.3</w:t>
      </w:r>
    </w:p>
    <w:p>
      <w:r>
        <w:t>Le raisonnement de la cour cantonale, dont la teneur - bien que succincte - a été maintes fois confirmée par le Tribunal fédéral dans des affaires portant sur des actions climatiques similaires ( ATF 149 IV 217 consid. 1.3.8;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de l'ampleur des perturbations pour les usagers de la rue Centrale, ou encore de l'énergie déployée par le recourant pour prolonger sa présence sur les lieux. Pour ces motifs, les actes du recourant ôtent tout caractère honorable au mobile poursuivi, de sorte qu'il ne saurait être exempté de toute peine au sens de l' art. 52 CP et que sa peine ne saurait être atténuée en application de l' art. 48 let. a ch. 1 CP .</w:t>
      </w:r>
    </w:p>
    <w:p>
      <w:r>
        <w:rPr>
          <w:b/>
        </w:rPr>
        <w:t>E. 5</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