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6B_241/2020 vom 6. Mai 2020</w:t>
      </w:r>
    </w:p>
    <w:p>
      <w:r>
        <w:t>Bundesgericht, 2020-05-06, FR</w:t>
      </w:r>
    </w:p>
    <w:p>
      <w:r>
        <w:rPr>
          <w:b/>
        </w:rPr>
        <w:t xml:space="preserve">Quelle: </w:t>
      </w:r>
      <w:r>
        <w:t>https://mcp.opencaselaw.ch/entscheid/bger_6B_241_2020</w:t>
      </w:r>
    </w:p>
    <w:p>
      <w:r>
        <w:t>FR: TF 6B_241/2020 du 6 mai 2020</w:t>
      </w:r>
    </w:p>
    <w:p>
      <w:r>
        <w:t>IT: TF 6B_241/2020 del 6 maggio 2020</w:t>
      </w:r>
    </w:p>
    <w:p>
      <w:pPr>
        <w:pStyle w:val="Heading2"/>
      </w:pPr>
      <w:r>
        <w:t>Erwägungen</w:t>
      </w:r>
    </w:p>
    <w:p>
      <w:r>
        <w:rPr>
          <w:b/>
        </w:rPr>
        <w:t>E. 1</w:t>
      </w:r>
    </w:p>
    <w:p>
      <w:r>
        <w:t>La recourante conteste avoir reçu un montant total de 1'274'912 fr. de la part de l'intimé. Invoquant une violation des art. 9 Cst. , 32 al. 1 Cst. et 10 al. 3 CPP, elle se plaint d'arbitraire dans la constatation des faits et reproche à la cour cantonale d'avoir violé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 ATF 144 III 93 consid. 5.2.2 p. 98).</w:t>
      </w:r>
    </w:p>
    <w:p>
      <w:r>
        <w:t>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145 IV 154 consid. 1.1 p. 156; 143 IV 500 consid. 1.1 p. 503 et les références citées). Le Tribunal fédéral n'entre en matière sur les moyens fondés sur la violation de droits fondamentaux, dont l'interdiction de l'arbitraire, que s'ils ont été invoqués et motivés de manière précise ( art. 106 al. 2 LTF ). Le Tribunal fédéral n'entre pas en matière sur les critiques de nature appellatoire ( ATF 145 IV 154 consid. 1.1 p. 156; 142 III 364 consid. 2.4 p. 368 et les références citées).</w:t>
      </w:r>
    </w:p>
    <w:p>
      <w:r>
        <w:t>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1.2</w:t>
      </w:r>
    </w:p>
    <w:p>
      <w:r>
        <w:t>La recourante fait valoir en substance que le dossier ne permet pas de retenir qu'elle aurait perçu la somme de 1'274'912 francs.</w:t>
      </w:r>
    </w:p>
    <w:p>
      <w:r>
        <w:t>Pour fonder sa conviction que l'intimé avait bien remis en mains propres et en espèces les fonds litigieux, la cour cantonale s'est basée sur plusieurs éléments. Elle a relevé que, dans l'annexe à sa plainte récapitulant chronologiquement les remises d'argent à la recourante, l'intimé avait mis des points d'interrogation lorsqu'il ne disposait pas de traces bancaires des retraits opérés pour la recourante, ce qui accréditait son honnêteté. La police avait constaté que les nombreux retraits bancaires opérés par l'intimé n'étaient pas liés à des dépenses de celui-ci dont le train de vie était modeste, alors que certains retraits correspondaient par leurs montants et leurs dates à des crédits portés sur les comptes de la recourante. Certains motifs de retrait notés à la main par l'intimé sur les quittances bancaires de retrait correspondaient chronologiquement à des événements réels vécus par la recourante ou son fils nécessitant d'engager des dépenses. Les déclarations de l'intimé étaient accréditées par la réalité de son appauvrissement et de sa ruine matérialisée entre autres par la perte de son avoir LPP, la vente de sa maison et la nécessité de devoir travailler au-delà de l'âge de la retraite. La recourante ne discute en aucune façon les éléments précités, qui contredisent son affirmation selon laquelle le dossier ne contient pas le moindre élément d'information s'agissant des circonstances dans lesquelles la remise des fonds serait intervenue. Sa critique, purement appellatoire, est irrecevable.</w:t>
      </w:r>
    </w:p>
    <w:p>
      <w:r>
        <w:t>Pour ce qui concerne la part de l'investissement remis à la recourante au moyen de fonds empruntés à des tiers à hauteur de 629'400 fr., la cour cantonale a constaté que l'intimé avait produit des pièces, quittances, conventions, reconnaissances de dettes couvrant la totalité des montants qu'il avait empruntés à des proches et connaissances pour les remettre à la recourante en vue de les investir dans la société off-shore présentée. En tant que la recourante reproche, de manière générale, à la cour cantonale d'avoir accordé un poids prépondérant à ces pièces, sa critique, faute de répondre aux exigences de motivation en la matière, est irrecevable. Plus spécifiquement, la recourante reproche à la cour cantonale d'avoir considéré que l'un des documents la mentionnait expressément comme réceptionnaire des fonds en référence à la convention de placement conclue entre l'intimé et H.________. Le document en question comporte, en bas de page, les coordonnées de la recourante aux côtés de celle de l'intimé. Partant, il n'est nullement insoutenable d'avoir considéré que cet élément permettait d'en conclure qu'elle était réceptionnaire des fonds avancés par H.________ à l'intimé. En outre, la cour cantonale a mis cette convention en exergue pour établir l'implication de la recourante dans la recherche de prêts de l'intimé auprès de tiers, certains prêteurs, entendus par la police, dont le témoin H.________, ayant exposé que l'intimé parlait de la recourante comme étant liée à la société devant recevoir l'argent. Enfin, la divergence mentionnée, entre la convention produite par le témoin H.________ et celle produite à l'appui de la plainte de l'intimé en lien avec les intérêts à verser au créancier, demeure sans portée par rapport aux constatations selon lesquelles ces fonds, à l'instar des autres sommes versées par des tiers à l'intimé, ont été bien été remis par le témoin à l'intimé, qui les a, à son tour, remis à la recourante. Il en va de même quand la recourante souligne que l'intimé aurait promis des intérêts excessifs à certains créanciers, les conditions auxquelles l'intimé était prêt à rembourser ses créanciers n'étant pas propres à remettre en cause la réception des fonds par la recourante. Autant que la recourante veut en tirer une généralité pour mettre en doute la valeur probante de l'ensemble des pièces établissant la réalité des sommes récoltées par l'intimé auprès de tiers, sa critique, dépourvue de toute assise factuelle, est irrecevable. Au demeurant, on ne voit pas l'intérêt du recourant à établir des documents attestant de son endettement auprès de tiers s'il n'avait pas perçu ces sommes.</w:t>
      </w:r>
    </w:p>
    <w:p>
      <w:r>
        <w:t>Enfin, la recourante discute la crédibilité des témoins H.________, F.________ et G.________, respectivement de l'intimé. Elle conteste avoir le profil attribué par ces derniers, à savoir celui d'une femme rompue aux affaires, alors qu'elle ne correspond en rien dans la réalité à ce profil, que ce soit sur le plan financier, personnel ou professionnel. Elle en conclut que soit l'intimé, qui connaissait sa situation obérée, n'est pas crédible en tant qu'il aurait fourni des indications erronées aux témoins, soit ce sont les témoins qui ne le sont pas, l'intimé n'ayant pas pu donner d'elle une telle description. Elle se réfère au témoin I.________ selon qui elle était une personne désorganisée, qui ne connaissait rien à l'administratif en général. La cour cantonale, à la suite des premiers juges, a souligné que la recourante avait participé à des rendez-vous avec certaines des personnes approchées par l'intimé. Elle leur avait expliqué le système d'investissement et leur avait présenté divers arguments pour les convaincre de prêter de l'argent. Ces constatations lient le Tribunal fédéral ( art. 105 al. 1 LTF ). La réalité de la situation financière obérée de la recourante ou de ses autres traits de caractère, dont il ne ressort pas de la procédure qu'ils auraient été connus des témoins ( art. 105 al. 1 LTF ), n'affectent en rien la crédibilité de leurs déclarations quant à la manière dont elle s'est présentée à eux. Il en va de même sur ce que l'intimé a pu raconter à d'autres prêteurs qui ont déclaré qu'elle leur avait été présentée comme une personne liée à la société devant recevoir les fonds. La critique est inapte à établir l'arbitraire dans l'appréciation des témoignages.</w:t>
      </w:r>
    </w:p>
    <w:p>
      <w:r>
        <w:t>S'agissant de la crédibilité de l'intimé, la cour cantonale ne s'est pas seulement fondée sur les déclarations de ce dernier, dont elle a souligné le discours sincère et authentique, mais a exposé les divers éléments de preuve, pièces et témoignages évoqués ci-avant, qui l'ont conduite à considérer qu'il avait confié les montants litigieux à la recourante en vue d'investissement dans la pseudo-société off-shore. Elle a aussi relevé que, durant les années où l'intimé avait procédé aux remises d'argent liquide en mains de la recourante, ses comptes n'avaient enregistré que peu d'opérations de crédit, contrairement à ce que révélait l'examen de ses comptes avant et après les remises d'argent, sans que l'intéressée n'ait pu expliquer le maintien de son train de vie dispendieux durant cette période. Il n'existait aucun motif objectif ou compréhensible que l'intimé ait purement et simplement inventé ces accusations à l'encontre de la recourante. Elle a aussi rappelé que, selon un mode similaire, la recourante avait obtenu des prêts de la part d'hommes âgés, en janvier 2010 de 60'000 fr. et entre février 2014 et juin 2015 environ 1'000'000 fr., toutes constatations que la recourante ne discute pas. Le grief d'arbitraire est également infondé sur ce point dans la faible mesure de sa recevabilité.</w:t>
      </w:r>
    </w:p>
    <w:p>
      <w:r>
        <w:rPr>
          <w:b/>
        </w:rPr>
        <w:t>E. 1.3</w:t>
      </w:r>
    </w:p>
    <w:p>
      <w:r>
        <w:t>En définitive, la recourante échoue à démontrer en quoi la cour cantonale aurait versé dans l'arbitraire et violé la présomption d'innocence en jugeant crédible la version des faits de l'intimé, étayée par les différentes pièces et témoignages. Son grief, en tant que recevable, s'avère par conséquent mal fondé.</w:t>
      </w:r>
    </w:p>
    <w:p>
      <w:r>
        <w:rPr>
          <w:b/>
        </w:rPr>
        <w:t>E. 2</w:t>
      </w:r>
    </w:p>
    <w:p>
      <w:r>
        <w:t>La violation de l' art. 138 al. 1 CP , invoquée par la recourante, découle de son grief d'arbitraire dans l'établissement des faits. Ce dernier étant rejeté, sa critique devient sans objet, étant relevé que, pour le surplus, la recourante ne formule aucune critique en droit quant à la qualification de l'infraction ( art. 42 al. 2 LTF ).</w:t>
      </w:r>
    </w:p>
    <w:p>
      <w:r>
        <w:rPr>
          <w:b/>
        </w:rPr>
        <w:t>E. 3</w:t>
      </w:r>
    </w:p>
    <w:p>
      <w:r>
        <w:t>La recourante invoque aussi la violation de l' art. 303 CP en tant que la cour cantonale la reconnaît coupable de dénonciation calomnieuse pour avoir dénoncé pénalement sans fondement l'intimé, E.________ ainsi que les témoins G.________ et F.________. La violation alléguée, fondée sur la prémisse que les déclarations des personnes visées par ses plaintes n'étaient pas crédibles, tombe à faux, la cour cantonale ayant jugé sans arbitraire que tel n'était pas le cas (consid. 1). La recourante ne formule, au surplus, aucune critique quant à la réalisation des éléments constitutifs de l'infraction. La cause ne sera pas revue sous cet angle ( art. 42 al. 2 LTF ).</w:t>
      </w:r>
    </w:p>
    <w:p>
      <w:r>
        <w:rPr>
          <w:b/>
        </w:rPr>
        <w:t>E. 4</w:t>
      </w:r>
    </w:p>
    <w:p>
      <w:r>
        <w:t>La recourante soutient que la peine qui lui a été infligée viole l' art. 47 CP . Elle fait grief à la cour cantonale de ne pas avoir pris en considération sa vulnérabilité face à la peine, compte tenu de son état de santé fragile. Elle conclut dès lors au prononcé d'une peine privative de liberté compatible avec un sursis complet.</w:t>
      </w:r>
    </w:p>
    <w:p>
      <w:r>
        <w:rPr>
          <w:b/>
        </w:rPr>
        <w:t>E. 4.1</w:t>
      </w:r>
    </w:p>
    <w:p>
      <w:r>
        <w:t>On renvoie quant aux principes déterminants régissant la fixation de la peine aux ATF 144 IV 313 consid. 1.2 p. 319; 142 IV 137 consid. 9.1 p. 147; 141 IV 61 consid. 6.1.1 p. 66s. et 136 IV 55 consid. 5.6 p. 61, étant rappelé que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En particulier, outre les composantes de la culpabilité qui ont trait à l'acte lui-même, il y a lieu de tenir compte des facteurs liés à l'auteur,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136 IV 55 consid. 5 p. 57 ss; 134 IV 17 consid. 2.1 p. 19 s.). Le juge tiendra compte du fait que certains délinquants sont plus durement touchés par l'exécution d'une peine privative de liberté. La vulnérabilité face à la peine ne doit cependant être retenue comme circonstance atténuante que si elle rend la sanction considérablement plus dure que pour la moyenne des autres condamnés, par exemple en présence de maladies graves, de psychoses claustrophobiques ou de surdimutité (cf. arrêts 6B_1463/2019 du 20 février 2020 consid. 2.1.1; 6B_1299/2016 du 27 septembre 2017 consid. 2.3.3; 6B_71/2016 du 5 avril 2017 consid. 4.2). Dans certains cas, le grand âge de l'auteur pourra aussi influer sur la sensibilité à la peine. Il a cependant été jugé que l'âge de 70 ans n'était pas suffisamment avancé pour être pris en considération (cf. arrêt 6B_1463/2019 précité consid. 2.1.1 et les arrêts cités).</w:t>
      </w:r>
    </w:p>
    <w:p>
      <w:r>
        <w:rPr>
          <w:b/>
        </w:rPr>
        <w:t>E. 4.2</w:t>
      </w:r>
    </w:p>
    <w:p>
      <w:r>
        <w:t>La cour cantonale a relevé que la culpabilité de la recourante était très lourde. Elle a repris à son compte les éléments mis en exergue par les premiers juges pour qualifier la faute de la recourante. Elle a notamment souligné la duplicité de la recourante, qui s'était jouée des sentiments que lui portait l'intimé, et qui l'avait ruiné de manière implacable sans se soucier le moins du monde des difficultés auxquelles celui-ci serait confronté. La recourante avait poussé l'abjection jusqu'à déposer plainte contre tous ceux qui la mettaient en cause. Son seul mobile avait été de maintenir un train de vie luxueux. Il n'y avait ni remords, ni prise de conscience. A décharge, il fallait tenir compte de la situation difficile de l'intéressée, de son profil psychologique et de ses importantes souffrances psychiques. Il y avait encore lieu de retenir que la recourante avait fait très mauvaise impression aux débats d'appel, persistant à nier toute implication et à feindre de ne pas comprendre ce que lui reprochait l'intimé. Au vu de ce constat, la peine fixée par les juges de première instance était manifestement insuffisante à sanctionner le comportement de l'intéressée.</w:t>
      </w:r>
    </w:p>
    <w:p>
      <w:r>
        <w:t>Contrairement à ce que prétend la recourante, la cour cantonale, en mentionnant à décharge ses importantes souffrances psychiques, sa situation difficile et son profil psychologique, n'a pas ignoré son état de santé fragile qu'elle a du reste détaillé en se référant aux documents médicaux versés à la procédure. Elle en a ainsi tenu compte dans la fixation de la peine. En revanche, rien ne permet de retenir, sur la base de ces éléments, que la privation de liberté prononcée serait considérablement plus dure pour la recourante que pour la moyenne des autres condamnés, ni en raison de son âge (60 ans) ni de son état de santé, étant précisé qu'il n'est pas exclu qu'elle puisse continuer à bénéficier de son traitement médicamenteux ainsi que d'un suivi psychologique en cours d'exécution de peine.</w:t>
      </w:r>
    </w:p>
    <w:p>
      <w:r>
        <w:t>Au surplus, la recourante ne cite aucun élément important, propre à modifier la peine, qui aurait été omis ou pris en considération à tort dans la détermination de la quotité de la peine par la cour cantonale. En tout état, il n'apparaît pas que la peine privative de liberté de 36 mois avec sursis partiel de 18 mois, fixée dans le cadre légal (cf. art. 49 CP ) et tenant compte des éléments d'appréciation prévus à l' art. 47 CP soit exagérément sévère au point de constituer un abus du pouvoir d'appréciation. Dans la mesure où la peine ne doit pas être diminuée, la question de l'octroi d'un sursis complet ( art. 42 CP ) ne se pose pas.</w:t>
      </w:r>
    </w:p>
    <w:p>
      <w:r>
        <w:rPr>
          <w:b/>
        </w:rPr>
        <w:t>E. 5</w:t>
      </w:r>
    </w:p>
    <w:p>
      <w:r>
        <w:t>Mal fondé, le recours doit être rejeté dans la mesure où il est recevable. Comme il était dénué de chances de succès, la demande d'assistance judiciaire doit être rejetée ( art. 64 al. 1 LTF ). La recourante, qui succombe, supportera les frais judiciaires ( art. 66 al. 1 LTF ), dont le montant sera toutefois fixé en tenant compte de sa situation financière qui n'apparaît pas favorable.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