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6B_241/2019 vom 19. Februar 2019</w:t>
      </w:r>
    </w:p>
    <w:p>
      <w:r>
        <w:t>Bundesgericht, 2019-02-19, DE</w:t>
      </w:r>
    </w:p>
    <w:p>
      <w:r>
        <w:rPr>
          <w:b/>
        </w:rPr>
        <w:t xml:space="preserve">Quelle: </w:t>
      </w:r>
      <w:r>
        <w:t>https://mcp.opencaselaw.ch/entscheid/bger_6B_241_2019</w:t>
      </w:r>
    </w:p>
    <w:p>
      <w:r>
        <w:t>FR: TF 6B_241/2019 du 19 février 2019</w:t>
      </w:r>
    </w:p>
    <w:p>
      <w:r>
        <w:t>IT: TF 6B_241/2019 del 19 febbraio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Appellationsgericht des Kantons Basel-Stadt büsste den Beschwerdeführer zweitinstanzlich wegen Führens eines nicht betriebssicheren Fahrzeugs mit Fr. 200.-- (Ersatzfreiheitsstrafe 2 Tage).</w:t>
      </w:r>
    </w:p>
    <w:p>
      <w:r>
        <w:t>Der Beschwerdeführer wendet sich an das Bundesgericht.</w:t>
      </w:r>
    </w:p>
    <w:p>
      <w:r>
        <w:rPr>
          <w:b/>
        </w:rPr>
        <w:t>E. 2</w:t>
      </w:r>
    </w:p>
    <w:p>
      <w:r>
        <w:t>Rechtsschriften haben ein Begehren, d.h. einen Antrag, und deren Begründung mit Angabe der Beweismittel zu enthalten ( Art. 42 Abs. 1 BGG ). In der Begründung ist in gedrängter Form darzulegen, inwiefern der angefochtene Akt Recht verletzt ( Art. 42 Abs. 2 BGG ).</w:t>
      </w:r>
    </w:p>
    <w:p>
      <w:r>
        <w:t>Die Eingaben des Beschwerdeführers an das Bundesgericht genügen den Anforderungen von Art. 42 Abs. 1 und 2 BGG nicht. Sie enthalten kein Begehren im Sinne von Art. 42 Abs. 1 BGG und auch sonst keine hinreichende Begründung (vgl. zu den Beschwerdegründen Art. 95 ff. BGG ). Darauf ist im Verfahren nach Art. 108 BGG nicht einzutreten.</w:t>
      </w:r>
    </w:p>
    <w:p>
      <w:r>
        <w:rPr>
          <w:b/>
        </w:rPr>
        <w:t>E. 3</w:t>
      </w:r>
    </w:p>
    <w:p>
      <w:r>
        <w:t>Auf eine Kostenauflage kann verzichtet werden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