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6B_23/2019 vom 31. Januar 2019</w:t>
      </w:r>
    </w:p>
    <w:p>
      <w:r>
        <w:t>Bundesgericht, 2019-01-31, FR</w:t>
      </w:r>
    </w:p>
    <w:p>
      <w:r>
        <w:rPr>
          <w:b/>
        </w:rPr>
        <w:t xml:space="preserve">Quelle: </w:t>
      </w:r>
      <w:r>
        <w:t>https://mcp.opencaselaw.ch/entscheid/bger_6B_23_2019</w:t>
      </w:r>
    </w:p>
    <w:p>
      <w:r>
        <w:t>FR: TF 6B_23/2019 du 31 janvier 2019</w:t>
      </w:r>
    </w:p>
    <w:p>
      <w:r>
        <w:t>IT: TF 6B_23/2019 del 31 gennaio 2019</w:t>
      </w:r>
    </w:p>
    <w:p>
      <w:pPr>
        <w:pStyle w:val="Heading2"/>
      </w:pPr>
      <w:r>
        <w:t>Erwägungen</w:t>
      </w:r>
    </w:p>
    <w:p>
      <w:r>
        <w:rPr>
          <w:b/>
        </w:rPr>
        <w:t>E. 1</w:t>
      </w:r>
    </w:p>
    <w:p>
      <w:r>
        <w:t>Par ordonnance pénale du 12 juin 2018, le Ministère public de l'arrondissement de Lausanne a condamné X._________, pour violation simple des règles de la circulation routière et conduite d'un véhicule malgré le refus, le retrait ou l'interdiction de l'usage du permis, à une peine privative de liberté de 90 jours, ainsi qu'à une amende de 400 francs.</w:t>
      </w:r>
    </w:p>
    <w:p>
      <w:r>
        <w:t>Cette ordonnance pénale a été adressée au prénommé le 12 juin 2018. Le pli qui la contenait a été retourné avec la mention "non réclamé", l'intéressé ne s'étant pas présenté au guichet pour retirer celui-ci dans le délai de garde postal. Par lettre non datée, postée le 3 juillet 2018, X._________ a formé opposition contre l'ordonnance pénale du 12 juin 2018.</w:t>
      </w:r>
    </w:p>
    <w:p>
      <w:r>
        <w:t>Par prononcé du 21 août 2018, le Tribunal de police de l'arrondissement de Lausanne, considérant que l'opposition à l'ordonnance pénale était tardive, a déclaré celle-ci irrecevable et a constaté que cette décision était exécutoire.</w:t>
      </w:r>
    </w:p>
    <w:p>
      <w:r>
        <w:t>Par arrêt du 1er novembre 2018, la Chambre des recours pénale du Tribunal cantonal du canton de Vaud a rejeté le recours formé par X._________ contre le prononcé du 21 août 2018 et a confirmé celui-ci.</w:t>
      </w:r>
    </w:p>
    <w:p>
      <w:r>
        <w:t>X._________ forme un recours en matière pénale au Tribunal fédéral contre l'arrêt du 1er novembre 2018.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se contente d'affirmer, de manière purement appellatoire, qu'il n'a jamais reçu l'avis de retrait concernant le pli qui contenait l'ordonnance pénale du 12 juin 2018, sans présenter le moindre argument qui permettrait de faire apparaître comme arbitraire les constatations de la cour cantonale à cet égard. Pour le reste, l'intéressé n'explique aucunement, au moyen d'une argumentation topique, en quoi l'arrêt attaqué violerait le droit.</w:t>
      </w:r>
    </w:p>
    <w:p>
      <w:r>
        <w:t>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