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6B_239/2026 vom 19. Mai 2026</w:t>
      </w:r>
    </w:p>
    <w:p>
      <w:r>
        <w:t>Bundesgericht, 2026-05-19, DE</w:t>
      </w:r>
    </w:p>
    <w:p>
      <w:r>
        <w:rPr>
          <w:b/>
        </w:rPr>
        <w:t xml:space="preserve">Quelle: </w:t>
      </w:r>
      <w:r>
        <w:t>https://mcp.opencaselaw.ch/entscheid/bger_6B_239_2026</w:t>
      </w:r>
    </w:p>
    <w:p>
      <w:r>
        <w:t>FR: TF 6B_239/2026 du 19 mai 2026</w:t>
      </w:r>
    </w:p>
    <w:p>
      <w:r>
        <w:t>IT: TF 6B_239/2026 del 19 maggio 2026</w:t>
      </w:r>
    </w:p>
    <w:p>
      <w:pPr>
        <w:pStyle w:val="Heading2"/>
      </w:pPr>
      <w:r>
        <w:t>Erwägungen</w:t>
      </w:r>
    </w:p>
    <w:p>
      <w:r>
        <w:rPr>
          <w:b/>
        </w:rPr>
        <w:t>E. 1</w:t>
      </w:r>
    </w:p>
    <w:p>
      <w:r>
        <w:t>Die Beschwerde vom 10. April 2026 gegen das Urteil des Obergerichts des Kantons Zürich vom 27. Januar 2026 wurde mit Eingabe vom 12. Mai 2026 zurückgezogen. Das Verfahren ist infolge Beschwerderückzugs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