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6B_239/2020 vom 8. Juni 2020</w:t>
      </w:r>
    </w:p>
    <w:p>
      <w:r>
        <w:t>Bundesgericht, 2020-06-08, FR</w:t>
      </w:r>
    </w:p>
    <w:p>
      <w:r>
        <w:rPr>
          <w:b/>
        </w:rPr>
        <w:t xml:space="preserve">Quelle: </w:t>
      </w:r>
      <w:r>
        <w:t>https://mcp.opencaselaw.ch/entscheid/bger_6B_239_2020</w:t>
      </w:r>
    </w:p>
    <w:p>
      <w:r>
        <w:t>FR: TF 6B_239/2020 du 8 juin 2020</w:t>
      </w:r>
    </w:p>
    <w:p>
      <w:r>
        <w:t>IT: TF 6B_239/2020 del 8 giugno 2020</w:t>
      </w:r>
    </w:p>
    <w:p>
      <w:pPr>
        <w:pStyle w:val="Heading2"/>
      </w:pPr>
      <w:r>
        <w:t>Erwägungen</w:t>
      </w:r>
    </w:p>
    <w:p>
      <w:r>
        <w:rPr>
          <w:b/>
        </w:rPr>
        <w:t>E. 1.1</w:t>
      </w:r>
    </w:p>
    <w:p>
      <w:r>
        <w:t>Selon l'art. 81 al. 1 let. a et b ch. 5 LTF, la partie plaignante qui a participé à la procédure devant l'autorité précédente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Selon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rPr>
          <w:b/>
        </w:rPr>
        <w:t>E. 1.2</w:t>
      </w:r>
    </w:p>
    <w:p>
      <w:r>
        <w:t>Le recourant s'estime victime d'escroquerie, de gestion déloyale ou d'abus de confiance. Il fait valoir que B.B.________ se serait approprié EUR 1,2 million qu'il a versé sur le compte de C.________ SA ainsi que l'intégralité des bénéfices réalisés par D.________, crédités par cette société sur le compte bancaire genevois de C.________ SA, à savoir EUR 19 millions au total, alors que, selon un accord conclu avec B.B.________, le 50% des recettes devait lui revenir. On comprend que le recourant entend obtenir la restitution de EUR 1,2 million et le versement de la moitié des bénéfices réalisés par D.________. Les éléments invoqués par le recourant sont donc suffisants pour comprendre les prétentions civiles en jeu et permettent de lui reconnaître la qualité pour recourir.</w:t>
      </w:r>
    </w:p>
    <w:p>
      <w:r>
        <w:rPr>
          <w:b/>
        </w:rPr>
        <w:t>E. 2</w:t>
      </w:r>
    </w:p>
    <w:p>
      <w:r>
        <w:t>Dénonçant une violation de l' art. 319 al. 1 CPP , le recourant reproche à la cour cantonale d'avoir confirmé le classement de la procédure.</w:t>
      </w:r>
    </w:p>
    <w:p>
      <w:r>
        <w:rPr>
          <w:b/>
        </w:rPr>
        <w:t>E. 2.1</w:t>
      </w:r>
    </w:p>
    <w:p>
      <w:r>
        <w:t>Aux termes de l' art. 319 al. 1 CPP ,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Celui-ci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2.2.1</w:t>
      </w:r>
    </w:p>
    <w:p>
      <w:r>
        <w:t>La cour cantonale est entrée en matière sur le recours cantonal dans la mesure où il portait sur la prétendue commission, par B.B.________, d'infractions contre la fortune du recourant. En revanche, elle a déclaré irrecevable le recours cantonal, en tant que celui-ci portait sur la prétendue commission, par B.B.________, d'infractions contre le patrimoine de C.________ SA. En effet, selon l' art. 382 CPP , seule la partie qui a un intérêt juridiquement protégé à l'annulation ou à la modification d'une décision a la qualité pour contester celle-ci. Or, lorsqu'une infraction contre le patrimoine est commise à l'encontre d'une personne morale, seule cette dernière subit un dommage direct et peut prétendre à la qualité de lésée, à l'exclusion de ses actionnaires et/ou des ayants droit économiques ( ATF 141 IV 380 consid. 2.3.3 p. 386; 140 IV 155 consid. 3.3.1 p. 158; arrêt 1B_18/2018 du 19 avril 2018 consid. 2.1 et les arrêts cités).</w:t>
      </w:r>
    </w:p>
    <w:p>
      <w:r>
        <w:rPr>
          <w:b/>
        </w:rPr>
        <w:t>E. 2.2.2</w:t>
      </w:r>
    </w:p>
    <w:p>
      <w:r>
        <w:t>Le recourant ne conteste pas l'irrecevabilité du recours, en tant qu'il portait sur la commission d'infractions contre la fortune de C.________ SA. Il estime avoir subi un dommage direct. Il reproche à B.B.________ d'avoir utilisé, à son unique profit, les fonds crédités sur le compte de C.________ SA, à savoir les sommes que lui-même avait investies (EUR 1,2 million) ainsi que celles versées par D.________ (EUR 19 millions), fonds qui constitueraient des « valeurs confiées » selon l' art. 138 ch. 1 al. 2 CP . Il explique qu'il aurait versé le montant de EUR 1,2 million en échange « d'une participation au projet, qui donnerait droit à une part correspondante des bénéfices », « participation qui se serait finalement avérée inexistante ».</w:t>
      </w:r>
    </w:p>
    <w:p>
      <w:r>
        <w:t>Il convient donc d'examiner dans quelle mesure une infraction contre le patrimoine (abus de confiance, escroquerie et gestion déloyale) pourrait être commise directement contre le patrimoine du recourant.</w:t>
      </w:r>
    </w:p>
    <w:p>
      <w:r>
        <w:rPr>
          <w:b/>
        </w:rPr>
        <w:t>E. 2.3.1</w:t>
      </w:r>
    </w:p>
    <w:p>
      <w:r>
        <w:t>Commet notamment un abus de confiance celui qui, sans droit, aura employé à son profit ou au profit d'un tiers des valeurs patrimoniales qui lui avaient été confiées ( art. 138 ch. 1 al. 2 CP ).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143 IV 297 consid. 1.3 p. 300; 133 IV 21 consid. 6.2 p. 27).</w:t>
      </w:r>
    </w:p>
    <w:p>
      <w:r>
        <w:t>Selon la jurisprudence, celui qui transfert des valeurs patrimoniales à un tiers en contrepartie d'une prestation ne les lui « confie » pas, de sorte que le tiers ne peut pas être puni pour abus de confiance s'il ne verse pas la contre-prestation ( ATF 118 IV 239 consid. 2b p. 241 s.; 133 IV 21 ). Un abus de confiance peut entrer exceptionnellement en ligne de compte dans le contexte d'un prêt. Ainsi, il est admis que les valeurs patrimoniales prêtées sont confiées lorsque leur affectation est clairement prédéfinie et sert en même temps à assurer la couverture du risque du prêteur ou, à tout le moins, à diminuer le risque de perte; dans un tel cas, l'utilisation de l'argent prêté, contrairement à la destination convenue, peut dès lors être constitutive d'abus de confiance ( ATF 129 IV 257 consid. 2.2.2 et 2.3 p. 259 s.).</w:t>
      </w:r>
    </w:p>
    <w:p>
      <w:r>
        <w:rPr>
          <w:b/>
        </w:rPr>
        <w:t>E. 2.3.2</w:t>
      </w:r>
    </w:p>
    <w:p>
      <w:r>
        <w:t>La cour cantonale a considéré que le recourant n'était pas créancier de la moitié des bénéfices générés par C.________ SA et/ou D.________. Elle a en effet expliqué que le recourant ne prétendait pas que ces entités - qui avaient une personnalité juridique distincte de leurs fondateurs, de sorte qu'elles ne sauraient être liées par un accord, passé avant leur création, au sujet du partage de futurs gains sociaux - auraient décidé de lui attribuer tout ou partie de leurs recettes. Dans ces circonstances, seuls leurs actionnaires pourraient éventuellement prétendre au versement de dividendes. La cour cantonale a ajouté que le recourant ne disposait pas non plus d'une prétention en restitution de EUR 1,2 million, dès lors que ces fonds constituaient des investissements, et non des prêts sujets à remboursement. Elle a conclu qu'en l'absence de créance, le recourant ne pouvait pas se prévaloir d'un dommage et se prétendre lésé par une infraction.</w:t>
      </w:r>
    </w:p>
    <w:p>
      <w:r>
        <w:rPr>
          <w:b/>
        </w:rPr>
        <w:t>E. 2.3.3</w:t>
      </w:r>
    </w:p>
    <w:p>
      <w:r>
        <w:t>Selon l'état de fait cantonal, le recourant n'a pas prêté EUR 1,2 million à C.________ SA ou à B.B.________. Il a investi ce montant dans la société C.________ SA, montant qui a été versé par le recourant ou un tiers sur le compte de C.________ SA auprès de la banque F.________. Dans ces conditions, ce montant ne saurait être considéré comme avoir été « confié » à C.________ SA, de sorte que tout abus de confiance est exclu. Les bénéfices réalisés par D.________ et crédités sur le compte de C.________ SA auprès de la F.________ ne constituent pas non plus des « valeurs confiées ». Le recourant fait valoir qu'il a convenu oralement avec B.B.________ que la moitié des bénéfices futurs de la société C.________ SA devait lui revenir. Cet accord ne saurait rien y changer. Premièrement, à supposer qu'il ait été réellement conclu, cet accord l'a été entre le recourant et B.B.________; il ne saurait donc lier la société C.________ SA et l'obliger à reverser une part des bénéfices au recourant. En tout état de cause, comme vu ci-dessus, celui qui remet des valeurs patrimoniales à un tiers en contrepartie d'une prestation ne les lui « confie » pas, de sorte que l'inexécution de l'obligation de reverser les bénéfices ne peut pas constituer un abus de confiance. A défaut de « valeurs patrimoniales confiées » au sens de l' art. 138 ch. 1 al. 2 CP , tout abus de confiance à l'encontre du patrimoine du recourant est donc exclu.</w:t>
      </w:r>
    </w:p>
    <w:p>
      <w:r>
        <w:rPr>
          <w:b/>
        </w:rPr>
        <w:t>E. 2.4</w:t>
      </w:r>
    </w:p>
    <w:p>
      <w:r>
        <w:t>Aux termes de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Le recourant soutient avoir remis à C.________ SA EUR 1,2 million en échange d'une « participation au projet », à savoir d'une part correspondante des bénéfices. Selon lui, la société C.________ SA n'aurait été en définitive qu'un « véhicule » visant à enrichir exclusivement la famille B.________. A supposer que ces faits soient exacts et que B.B.________ ait déterminé le recourant à investir EUR 1,2 million en lui faisant miroiter la moitié des bénéfices de la société, on ne saurait parler de tromperie astucieuse et d'escroquerie. En effet, une tromperie sur la volonté d'exécuter un contrat est susceptible d'être astucieuse que dans la mesure où la vérification de la capacité et volonté d'exécution ne peut pas être exigée de la dupe ( ATF 118 IV 359 ). Or, en l'occurrence, il est évident qu'un contrat conclu entre le recourant et B.B.________ ne pouvait pas engager C.________ SA.</w:t>
      </w:r>
    </w:p>
    <w:p>
      <w:r>
        <w:rPr>
          <w:b/>
        </w:rPr>
        <w:t>E. 2.5</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L'infraction réprimée par l' art. 158 ch. 1 CP ne peut être commise que par une personne qui revêt la qualité de gérant. Selon la jurisprudence, il s'agit d'une personne à qui incombe, de fait ou formellement, la responsabilité d'administrer un complexe patrimonial non négligeable dans l'intérêt d'autrui ( ATF 129 IV 124 consid. 3.1 p. 126; 123 IV 17 consid. 3b p. 21).</w:t>
      </w:r>
    </w:p>
    <w:p>
      <w:r>
        <w:t>La cour cantonale a retenu que B.B.________ n'était pas tenu de gérer les intérêts pécuniaires du recourant. A supposer qu'il ait exercé la fonction d'administrateur (de fait) de C.________ SA et/ou de D.________, ce serait alors sur les affaires de ces dernières qu'il aurait été chargé de veiller, et non sur la situation de leurs actionnaires et/ou ayants droit économiques. La cour cantonale en a conclu que toute infraction de gestion déloyale à l'encontre du recourant était donc également exclue.</w:t>
      </w:r>
    </w:p>
    <w:p>
      <w:r>
        <w:t>Le recourant soutient que, selon l'accord initial conclu avec B.B.________, ce dernier s'était chargé de mettre en oeuvre le projet et de le gérer et que, de la sorte, il avait un devoir de préserver la participation de EUR 1,2 million que le recourant avait versé dans C.________ SA. Contrairement à ce que croit le recourant, ce prétendu accord ne fait pas encore de B.B.________ un gérant au sens de l' art. 158 CP , avec l'obligation de gérer le montant de 1,2 million dans l'intérêt du recourant. A juste titre, la cour cantonale a donc exclu toute infraction de gestion déloyale à l'encontre du recourant.</w:t>
      </w:r>
    </w:p>
    <w:p>
      <w:r>
        <w:rPr>
          <w:b/>
        </w:rPr>
        <w:t>E. 2.6</w:t>
      </w:r>
    </w:p>
    <w:p>
      <w:r>
        <w:t>En définitive, la cour cantonale n'a donc pas violé l' art. 319 CPP en estimant que les éléments des infractions définies aux art. 138, 146 et 158 CP n'étaient pas réunis et en ordonnant le classement de la plainte pénale déposée par le recourant.</w:t>
      </w:r>
    </w:p>
    <w:p>
      <w:r>
        <w:rPr>
          <w:b/>
        </w:rPr>
        <w:t>E. 3</w:t>
      </w:r>
    </w:p>
    <w:p>
      <w:r>
        <w:t>Le recours doit être rejeté.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