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6B_239/2019 vom 24. April 2019</w:t>
      </w:r>
    </w:p>
    <w:p>
      <w:r>
        <w:t>Bundesgericht, 2019-04-24, FR</w:t>
      </w:r>
    </w:p>
    <w:p>
      <w:r>
        <w:rPr>
          <w:b/>
        </w:rPr>
        <w:t xml:space="preserve">Quelle: </w:t>
      </w:r>
      <w:r>
        <w:t>https://mcp.opencaselaw.ch/entscheid/bger_6B_239_2019</w:t>
      </w:r>
    </w:p>
    <w:p>
      <w:r>
        <w:t>FR: TF 6B_239/2019 du 24 avril 2019</w:t>
      </w:r>
    </w:p>
    <w:p>
      <w:r>
        <w:t>IT: TF 6B_239/2019 del 24 aprile 2019</w:t>
      </w:r>
    </w:p>
    <w:p>
      <w:pPr>
        <w:pStyle w:val="Heading2"/>
      </w:pPr>
      <w:r>
        <w:t>Erwägungen</w:t>
      </w:r>
    </w:p>
    <w:p>
      <w:r>
        <w:rPr>
          <w:b/>
        </w:rPr>
        <w:t>E. 1</w:t>
      </w:r>
    </w:p>
    <w:p>
      <w:r>
        <w:t>Le Tribunal contrôle librement la recevabilité des recours qui lui sont soumis ( ATF 143 IV 357 consid. 1 p. 358).</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recourantes ne font valoir aucun préjudice et n'invoquent aucune prétention civile découlant des infractions contre l'honneur qu'elles dénoncent. Cela n'a rien d'évident. Les recourantes ne disposent donc pas de la qualité pour recourir sur le fond au sens de l'art. 81 al. 1 let. a et b ch. 5 LTF.</w:t>
      </w:r>
    </w:p>
    <w:p>
      <w:r>
        <w:rPr>
          <w:b/>
        </w:rPr>
        <w:t>E. 1.2</w:t>
      </w:r>
    </w:p>
    <w:p>
      <w:r>
        <w:t>L'hypothèse visée à l'art. 81 al. 1 let. b ch. 6 LTF n'entre pas en considération dans le cas d'espèce, dès lors que les recourantes ne soulèvent aucun grief relatif à leur droit de porter plainte.</w:t>
      </w:r>
    </w:p>
    <w:p>
      <w:r>
        <w:rPr>
          <w:b/>
        </w:rPr>
        <w:t>E. 2</w:t>
      </w:r>
    </w:p>
    <w:p>
      <w:r>
        <w:t>Les recourantes estiment par ailleurs que le ministère public ne pouvait rendre une décision de non-entrée en matière vu l'avancement de la procédure. En ce sens, elles émettent un grief d'ordre formel qui est recevable (cf. ATF 141 IV 1 consid. 1.1 p. 5).</w:t>
      </w:r>
    </w:p>
    <w:p>
      <w:r>
        <w:t>Les recourantes reprochent ainsi à l'autorité précédente d'avoir admis que le ministère public était fondé à rendre une ordonnance de non-entrée en matière sur les accusations de diffamation et de calomnie.</w:t>
      </w:r>
    </w:p>
    <w:p>
      <w:r>
        <w:rPr>
          <w:b/>
        </w:rPr>
        <w:t>E. 2.1</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6B_1096/2018 du 25 janvier 2019 consid. 2.2 et les références citées).</w:t>
      </w:r>
    </w:p>
    <w:p>
      <w:r>
        <w:rPr>
          <w:b/>
        </w:rPr>
        <w:t>E. 2.2</w:t>
      </w:r>
    </w:p>
    <w:p>
      <w:r>
        <w:t>La jurisprudence a récemment confirmé la compétence du ministère public pour rendre, selon les circonstances, une ordonnance de non-entrée en matière, de classement ou une ordonnance pénale lorsqu'une infraction de diffamation ( art. 173 CP ) est en cause. Toute compétence décisionnelle n'est pas non plus déniée au ministère public lorsque les éléments constitutifs de l'infraction semblent réunis ( art. 173 ch. 1 CP ).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dans tous les cas où les conditions de l' 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6B_539/2016 du 1er novembre 2017 consid. 2.1 et les références citées).</w:t>
      </w:r>
    </w:p>
    <w:p>
      <w:r>
        <w:rPr>
          <w:b/>
        </w:rPr>
        <w:t>E. 2.3</w:t>
      </w:r>
    </w:p>
    <w:p>
      <w:r>
        <w:t>En l'espèce, les recourantes et C.________ SA ont déposé plainte pour calomnie, subsidiairement diffamation contre A.________. Cette plainte a été adressée à la police judiciaire. A la suite de cela, la brigade financière a entendu A.________ lui attribuant la qualité de prévenu. A.________ a confirmé son courrier du 29 septembre 2017 et a expliqué sur la base de quelles sources il l'avait préparé. Il a transmis quelques jours plus tard à la brigade financière plusieurs documents dont une lettre d'excuse à l'attention des recourantes. Sur la base de ces éléments, qui lui ont été transmis par dite brigade, le ministère public a considéré que les propos contenus dans le courrier de A.________ du 29 septembre 2017 pourraient être diffamatoires, mais que celui-ci devait être considéré comme ayant agi de bonne foi et devait donc être mis au bénéfice de l' art. 173 ch. 2 CP . Il n'avait au demeurant pas commis de calomnie.</w:t>
      </w:r>
    </w:p>
    <w:p>
      <w:r>
        <w:rPr>
          <w:b/>
        </w:rPr>
        <w:t>E. 2.4</w:t>
      </w:r>
    </w:p>
    <w:p>
      <w:r>
        <w:t>Les recourantes invoquent l'arrêt 6B_539/2016 précité. La présente cause se distingue toutefois de cette affaire, dans la mesure où le ministère public n'a pas notifié à A.________ un courrier lui indiquant son statut de prévenu avec mention de ses droits. Il ne lui a pas non plus demandé de prendre position sur les accusations portées contre lui. En réalité, la première intervention du ministère public dans ce dossier a été la décision de non-entrée en matière.</w:t>
      </w:r>
    </w:p>
    <w:p>
      <w:r>
        <w:t>Les recourantes citent également l'arrêt 1B_363/2012 du 4 juin 2013 consid. 2.3, invoquant que selon celui-ci toute audition d'un suspect en qualité de prévenu impliquerait l'ouverture d'une instruction au sens de l' art. 309 al. 3 CPP . Cet arrêt ne dit pas cela.</w:t>
      </w:r>
    </w:p>
    <w:p>
      <w:r>
        <w:t>Quoi qu'il en soit, il ressort de ce qui précède que les seules opérations effectuées dans la présente procédure avant l'ordonnance de non-entrée en matière litigieuse sont d'une part l'interrogatoire par la brigade financière de A.________, nommément visé par la plainte. Cette audition correspond à ce qui est attendu de la police, à réception d'une plainte, dans le cadre de ses investigations (cf. art. 306 al. 2 let. b CPP ). Elle a en outre été exécutée spontanément par la police, sans instruction préalable du ministère public (cf. art. 309 al. 2 CPP ). Une telle audition ne saurait impliquer à elle seule dans le cas d'espèce, une ouverture d'instruction. D'autre part, à la suite de cette audition, A.________ a remis à la bridage financière des documents, à nouveau sans intervention du ministère public. Aucune mesure de contrainte n'a par ailleurs été ordonnée. Il est ainsi évident que lorsque le ministère public a reçu le dossier de la cause, alors qu'il n'avait encore lui-même procédé ou fait procéder à aucune mesure, la procédure n'avait pas dépassé le stade des premières investigations. Estimant qu'il n'y avait pas lieu à instruction, le ministère public était par conséquent encore en droit de rendre une ordonnance de non-entrée en matière.</w:t>
      </w:r>
    </w:p>
    <w:p>
      <w:r>
        <w:rPr>
          <w:b/>
        </w:rPr>
        <w:t>E. 2.5</w:t>
      </w:r>
    </w:p>
    <w:p>
      <w:r>
        <w:t>Les recourantes reprochent au ministère public de n'avoir pas entrepris certaines mesures d'instruction, notamment entendu des employés de la société B.________ SA, en liquidation, ou de n'avoir pas confronté les parties. Elles critiquent également l'appréciation de l'autorité précédente que A.________ aurait agi de bonne foi. Elles invoquent à cet égard une violation des art. 173 ch. 2 CP et 310 al. 1 let. a CPP et du principe " in dubio pro duriore ".</w:t>
      </w:r>
    </w:p>
    <w:p>
      <w:r>
        <w:t>Ces critiques, indissociables du fond, sont irrecevables, faute pour les recourantes d'avoir démontré leur qualité pou recourir à ce titre (cf. supra consid. 1.1).</w:t>
      </w:r>
    </w:p>
    <w:p>
      <w:r>
        <w:rPr>
          <w:b/>
        </w:rPr>
        <w:t>E. 3</w:t>
      </w:r>
    </w:p>
    <w:p>
      <w:r>
        <w:t>Le recours est rejeté dans la mesure de sa recevabilité.</w:t>
      </w:r>
    </w:p>
    <w:p>
      <w:r>
        <w:t>Les recourantes qui succombent devront supporter les frais judiciaires solidairement entre elles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