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239/2016 vom 4. April 2016</w:t>
      </w:r>
    </w:p>
    <w:p>
      <w:r>
        <w:t>Bundesgericht, 2016-04-04, DE</w:t>
      </w:r>
    </w:p>
    <w:p>
      <w:r>
        <w:rPr>
          <w:b/>
        </w:rPr>
        <w:t xml:space="preserve">Quelle: </w:t>
      </w:r>
      <w:r>
        <w:t>https://mcp.opencaselaw.ch/entscheid/bger_6B_239_2016</w:t>
      </w:r>
    </w:p>
    <w:p>
      <w:r>
        <w:t>FR: TF 6B 239/2016 du 4 avril 2016</w:t>
      </w:r>
    </w:p>
    <w:p>
      <w:r>
        <w:t>IT: TF 6B 239/2016 del 4 aprile 2016</w:t>
      </w:r>
    </w:p>
    <w:p>
      <w:pPr>
        <w:pStyle w:val="Heading2"/>
      </w:pPr>
      <w:r>
        <w:t>Regeste</w:t>
      </w:r>
    </w:p>
    <w:p>
      <w:r>
        <w:t>Nichtanhandnahme (Verleumdung) | Strafprozess</w:t>
      </w:r>
    </w:p>
    <w:p>
      <w:pPr>
        <w:pStyle w:val="Heading2"/>
      </w:pPr>
      <w:r>
        <w:t>Erwägungen</w:t>
      </w:r>
    </w:p>
    <w:p>
      <w:r>
        <w:rPr>
          <w:b/>
        </w:rPr>
        <w:t>E. 1</w:t>
      </w:r>
    </w:p>
    <w:p>
      <w:r>
        <w:t>Am 31. August 2015 erstattete die Beschwerdeführerin gegen einen ehemaligen Angestellten Srafanzeige wegen Verleumdung. Die Staatsanwaltschaft des Kantons Solothurn nahm das Verfahren am 30. November 2015 nicht an die Hand. Eine dagegen gerichtete Beschwerde wies das Obergericht des Kantons Solothurn am 4. Februar 2016 ab. Die Beschwerdeführerin wendet sich ans Bundesgericht und beantragt sinngemäss, das Strafverfahren sei an die Hand zu nehmen und der Beschuldigte zu verurteilen.</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die Privatklägerin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Rechtsprechung gilt auch bei Ehrverletzungsdelikten (vgl. Urteil 6B_94/2013 vom 3. Oktober 2013 E. 1.1). Die Beschwerdeführerin äussert sich vor Bundesgericht zur Frage der Legitimation und zu einer allfälligen Zivilforderung nicht. Im Übrigen würde auch ihr Vorbringen vor Vorinstanz, durch die Verleumdung seien enorme Kosten verursacht worden (angefochtenes Urteil S. 2 E. 1.2), den strengen Begründungsanforderungen nicht genügen. Auf die Beschwerde ist mangels dargetaner Legitimation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