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237/2020 vom 29. Mai 2020</w:t>
      </w:r>
    </w:p>
    <w:p>
      <w:r>
        <w:t>Bundesgericht, 2020-05-29, FR</w:t>
      </w:r>
    </w:p>
    <w:p>
      <w:r>
        <w:rPr>
          <w:b/>
        </w:rPr>
        <w:t xml:space="preserve">Quelle: </w:t>
      </w:r>
      <w:r>
        <w:t>https://mcp.opencaselaw.ch/entscheid/bger_6B_237_2020</w:t>
      </w:r>
    </w:p>
    <w:p>
      <w:r>
        <w:t>FR: TF 6B 237/2020 du 29 mai 2020</w:t>
      </w:r>
    </w:p>
    <w:p>
      <w:r>
        <w:t>IT: TF 6B 237/2020 del 29 maggio 2020</w:t>
      </w:r>
    </w:p>
    <w:p>
      <w:pPr>
        <w:pStyle w:val="Heading2"/>
      </w:pPr>
      <w:r>
        <w:t>Regeste</w:t>
      </w:r>
    </w:p>
    <w:p>
      <w:r>
        <w:t>Demande de révision | Procédure pénale</w:t>
      </w:r>
    </w:p>
    <w:p>
      <w:pPr>
        <w:pStyle w:val="Heading2"/>
      </w:pPr>
      <w:r>
        <w:t>Erwägungen</w:t>
      </w:r>
    </w:p>
    <w:p>
      <w:r>
        <w:rPr>
          <w:b/>
        </w:rPr>
        <w:t>E. 1</w:t>
      </w:r>
    </w:p>
    <w:p>
      <w:r>
        <w:t>Le recourant reproche à la cour cantonale d'avoir déclaré sa demande de révision irrecevable.</w:t>
      </w:r>
    </w:p>
    <w:p>
      <w:r>
        <w:rPr>
          <w:b/>
        </w:rPr>
        <w:t>E. 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w:t>
      </w:r>
    </w:p>
    <w:p>
      <w:r>
        <w:rPr>
          <w:b/>
        </w:rPr>
        <w:t>E. 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 6B_273/2020 du 27 avril 2020 consid. 1.1), ou encore lorsque la demande de révision apparaît abusive (arrêts 6B_1110/2019 du 18 décembre 2019 consid. 1.1.2; 6B_ 6B_324/2019 du 24 avril 2019 consid. 3.1).</w:t>
      </w:r>
    </w:p>
    <w:p>
      <w:r>
        <w:rPr>
          <w:b/>
        </w:rPr>
        <w:t>E. 1.3</w:t>
      </w:r>
    </w:p>
    <w:p>
      <w:r>
        <w:t>La voie de la révision n'est pas ouverte contre un jugement rendu en procédure simplifiée à raison de faits et preuves nouveaux au sens de l' art. 410 al. 1 let. a CPP , mais si la procédure simplifiée a été influencée par une infraction ( art. 410 al. 1 let . c CPP) ou est affectée par des vices de volonté importants ( ATF 144 IV 121 consid. 1.3 p. 123; 143 IV 122 consid. 3 p. 123 ss et les références citées).</w:t>
      </w:r>
    </w:p>
    <w:p>
      <w:r>
        <w:rPr>
          <w:b/>
        </w:rPr>
        <w:t>E. 1.4</w:t>
      </w:r>
    </w:p>
    <w:p>
      <w:r>
        <w:t>En l'occurrence, le jugement du 27 juin 2019 a été rendu en la forme simplifiée. Dans le cadre de sa demande de révision, le recourant a fait valoir un moyen de preuve nouveau, soit le mandat d'amener émis le 23 février 2017. Or, conformément à la jurisprudence (cf. consid. 1.3 supra), la voie de la révision ne lui était pas ouverte pour un tel motif. Au demeurant, il ressort du jugement attaqué que le recourant est retourné à plusieurs reprises au Venezuela après l'émission du mandat d'amener en question et a, en outre, pu renouveler son passeport. On ne voit donc pas que le recourant aurait pu accepter le jugement du 27 juin 2019 sans avoir connaissance d'un élément décisif qui aurait pu altérer sa décision.</w:t>
      </w:r>
    </w:p>
    <w:p>
      <w:r>
        <w:rPr>
          <w:b/>
        </w:rPr>
        <w:t>E. 2</w:t>
      </w:r>
    </w:p>
    <w:p>
      <w:r>
        <w:t>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