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237/2016 vom 18. Juli 2016</w:t>
      </w:r>
    </w:p>
    <w:p>
      <w:r>
        <w:t>Bundesgericht, 2016-07-18, FR</w:t>
      </w:r>
    </w:p>
    <w:p>
      <w:r>
        <w:rPr>
          <w:b/>
        </w:rPr>
        <w:t xml:space="preserve">Quelle: </w:t>
      </w:r>
      <w:r>
        <w:t>https://mcp.opencaselaw.ch/entscheid/bger_6B_237_2016</w:t>
      </w:r>
    </w:p>
    <w:p>
      <w:r>
        <w:t>FR: TF 6B 237/2016 du 18 juillet 2016</w:t>
      </w:r>
    </w:p>
    <w:p>
      <w:r>
        <w:t>IT: TF 6B 237/2016 del 18 luglio 2016</w:t>
      </w:r>
    </w:p>
    <w:p>
      <w:pPr>
        <w:pStyle w:val="Heading2"/>
      </w:pPr>
      <w:r>
        <w:t>Regeste</w:t>
      </w:r>
    </w:p>
    <w:p>
      <w:r>
        <w:t>Ordonnance de classement (menaces); indemnité pour frais de défense (art. 429 CPP) | Procédure pénale</w:t>
      </w:r>
    </w:p>
    <w:p>
      <w:pPr>
        <w:pStyle w:val="Heading2"/>
      </w:pPr>
      <w:r>
        <w:t>Erwägungen</w:t>
      </w:r>
    </w:p>
    <w:p>
      <w:r>
        <w:rPr>
          <w:b/>
        </w:rPr>
        <w:t>E. 1</w:t>
      </w:r>
    </w:p>
    <w:p>
      <w:r>
        <w:t>Le recourant se plaint d'une violation de l' art. 318 al. 1 CPP . Il soutient que le procureur ne lui aurait pas donné la possibilité de se prononcer avant de rendre son ordonnance, ce qui constituerait une violation de son droit d'être entendu et justifierait son annulation. L'arrêt attaqué ne traite pas de cet aspect et le recourant ne formule aucun grief recevable pour se plaindre d'un déni de justice à propos d'un tel grief qu'il aurait valablement soulevé en instance cantonale. Son grief est ainsi irrecevable, faute d'épuisement des instances cantonales ( art. 80 al. 1 LTF ).</w:t>
      </w:r>
    </w:p>
    <w:p>
      <w:r>
        <w:rPr>
          <w:b/>
        </w:rPr>
        <w:t>E. 2</w:t>
      </w:r>
    </w:p>
    <w:p>
      <w:r>
        <w:t>Le recours en matière pénale au Tribunal fédéral est ouvert contre la décision fixant l'indemnisation prévue à l' art. 429 CPP ( ATF 139 IV 206 consid. 1 p. 208).</w:t>
      </w:r>
    </w:p>
    <w:p>
      <w:r>
        <w:rPr>
          <w:b/>
        </w:rPr>
        <w:t>E. 3</w:t>
      </w:r>
    </w:p>
    <w:p>
      <w:r>
        <w:t>Le recourant soutient que l'autorité précédente aurait dû lui accorder une indemnité au sens de l' art 429 al. 1 let. a CPP .</w:t>
      </w:r>
    </w:p>
    <w:p>
      <w:r>
        <w:rPr>
          <w:b/>
        </w:rPr>
        <w:t>E. 3.1</w:t>
      </w:r>
    </w:p>
    <w:p>
      <w:r>
        <w:t>Selon l' art. 429 al. 1 let. a CPP ,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ATF 142 IV 45 consid. 2.1 p. 47; 138 IV 197 consid. 2.3.5 p. 203). Déterminer si l'assistance d'un avocat procède d'un exercice raisonnable des droits de procédure et si, par conséquent, une indemnité pour frais de défense selon l' art. 429 al. 1 let. a CPP peut être allouée au prévenu, est une question de droit fédéral que le Tribunal fédéral revoit librement ( ATF 142 IV 45 consid. 2.1 p. 47; 138 IV 197 consid. 2.3.6 p. 204).</w:t>
      </w:r>
    </w:p>
    <w:p>
      <w:r>
        <w:rPr>
          <w:b/>
        </w:rPr>
        <w:t>E. 3.2</w:t>
      </w:r>
    </w:p>
    <w:p>
      <w:r>
        <w:t>Le recourant fait valoir qu'il a consulté un avocat en raison du fait qu'il avait été dénoncé pour menaces ( art. 180 CP ). Cette infraction constitue un délit punissable d'une peine privative de liberté de 3 ans au plus. Il estime que la gravité de l'infraction et de la peine encourue justifieraient le recours à un avocat.</w:t>
      </w:r>
    </w:p>
    <w:p>
      <w:r>
        <w:rPr>
          <w:b/>
        </w:rPr>
        <w:t>E. 3.3</w:t>
      </w:r>
    </w:p>
    <w:p>
      <w:r>
        <w:t>En l'espèce, la cause concerne effectivement un délit, et une dénonciation en rapport avec cette infraction pouvait être de nature à inquiéter le recourant et à l'inciter à recourir à un avocat. Toutefois, il faut constater que la plainte a été déposée à la suite de l'intervention de son amie, B.________. De ce fait, le recourant, qui vivait avec cette dernière et qui n'avait pas sollicité son intervention, pouvait avoir immédiatement sa confirmation qu'elle avait agi de sa propre initiative. Cette circonstance dont le recourant savait qu'elle était propre à le faire libérer de la prévention puisqu'il l'a invoquée lors de sa première audition par le procureur, enlève énormément de poids au chef d'accusation de menaces. De plus, les déclarations de son amie devant le procureur ont immédiatement été claires et ne laissaient plus planer de doutes. Aucun autre élément ne vient aggraver la situation de fait ou de droit pour rendre nécessaire l'intervention d'un avocat. Il y a donc lieu d'admettre que la cour cantonale n'a pas violé le droit fédéral en refusant une indemnité au sens de l' art. 429 al.1 let. a CPP . Le recours doit être rejeté, dans la mesure de sa recevabilité.</w:t>
      </w:r>
    </w:p>
    <w:p>
      <w:r>
        <w:rPr>
          <w:b/>
        </w:rPr>
        <w:t>E. 4</w:t>
      </w:r>
    </w:p>
    <w:p>
      <w:r>
        <w:t>Le recours était d'emblée voué à l'échec, de sorte que l'assistance judiciaire requise en relation avec la présente procédure doit être refusée ( art. 64 al. 1 LTF a contrario). Les frais judiciaires seront mis à la charge du recourant ( art. 66 al. 1 LTF ). Ils seront toutefois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