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6B_237/2010 vom 29. April 2010</w:t>
      </w:r>
    </w:p>
    <w:p>
      <w:r>
        <w:t>Bundesgericht, 2010-04-29, DE</w:t>
      </w:r>
    </w:p>
    <w:p>
      <w:r>
        <w:rPr>
          <w:b/>
        </w:rPr>
        <w:t xml:space="preserve">Quelle: </w:t>
      </w:r>
      <w:r>
        <w:t>https://mcp.opencaselaw.ch/entscheid/bger_6B_237_2010</w:t>
      </w:r>
    </w:p>
    <w:p>
      <w:r>
        <w:t>FR: TF 6B_237/2010 du 29 avril 2010</w:t>
      </w:r>
    </w:p>
    <w:p>
      <w:r>
        <w:t>IT: TF 6B_237/2010 del 29 aprile 2010</w:t>
      </w:r>
    </w:p>
    <w:p>
      <w:pPr>
        <w:pStyle w:val="Heading2"/>
      </w:pPr>
      <w:r>
        <w:t>Erwägungen</w:t>
      </w:r>
    </w:p>
    <w:p>
      <w:r>
        <w:rPr>
          <w:b/>
        </w:rPr>
        <w:t>E. 1</w:t>
      </w:r>
    </w:p>
    <w:p>
      <w:r>
        <w:t>Staatsanwaltschaft des Kantons Freiburg, Zaehringenstrasse 1, 1702 Freiburg,</w:t>
      </w:r>
    </w:p>
    <w:p>
      <w:r>
        <w:rPr>
          <w:b/>
        </w:rPr>
        <w:t>E. 2</w:t>
      </w:r>
    </w:p>
    <w:p>
      <w:r>
        <w:t>Y._______,</w:t>
      </w:r>
    </w:p>
    <w:p>
      <w:r>
        <w:rPr>
          <w:b/>
        </w:rPr>
        <w:t>E. 3</w:t>
      </w:r>
    </w:p>
    <w:p>
      <w:r>
        <w:t>Z._______,</w:t>
      </w:r>
    </w:p>
    <w:p>
      <w:r>
        <w:t>beide vertreten durch Fürsprecher Dr. Paul Zbinden,</w:t>
      </w:r>
    </w:p>
    <w:p>
      <w:r>
        <w:t>Beschwerdegegner.</w:t>
      </w:r>
    </w:p>
    <w:p>
      <w:r>
        <w:t>Gegenstand</w:t>
      </w:r>
    </w:p>
    <w:p>
      <w:r>
        <w:t>Einstellung des Verfahrens (üble Nachrede usw.),</w:t>
      </w:r>
    </w:p>
    <w:p>
      <w:r>
        <w:t>Beschwerde gegen das Urteil der Strafkammer des Kantonsgerichts Freiburg vom 11. Februar 2010.</w:t>
      </w:r>
    </w:p>
    <w:p>
      <w:r>
        <w:t>Der Präsident zieht in Erwägung:</w:t>
      </w:r>
    </w:p>
    <w:p>
      <w:r>
        <w:t>1.</w:t>
      </w:r>
    </w:p>
    <w:p>
      <w:r>
        <w:t>Im angefochtenen Entscheid trat die Vorinstanz auf eine kantonale Beschwerde nicht ein, weil die Beschwerdeführerin die Beschwerdefrist nicht eingehalten hatte. Eine Wiederherstellung der Frist kam nicht in Betracht, weil die Beschwerdeführerin ihren angeblich schlechten gesundheitlichen Zustand nicht hinreichend belegt hatte (angefochtener Entscheid S. 2 E. 1a). Dazu kam, dass sie die kantonale Beschwerde nicht genügend begründet hatte (angefochtener Entscheid S. 2/3 E. 1b). Soweit sie schliesslich die Unzuständigkeit der Behörden des Kantons Freiburg geltend machte, hatte sie das Recht dazu infolge Verspätung verwirkt (angefochtener Entscheid S. 3 E. 1c).</w:t>
      </w:r>
    </w:p>
    <w:p>
      <w:r>
        <w:t>In einer Beschwerde ans Bundesgericht ist darzulegen, inwiefern der angefochtene Entscheid nach Auffassung der Beschwerdeführerin das schweizerische Recht im Sinne von Art. 95 BGG verletzen soll ( Art. 42 Abs. 2 BGG ). Dieser Voraussetzung genügt die vorliegende Beschwerde nicht, weil sie sich nicht auf die Erwägungen der Vorinstanz bezieht. Die Beschwerdeführerin reicht zum Beispiel das E-Mail eines Untersuchungsrichters ein, der (ohne allerdings den Fall näher zu kennen) festhält, der Kanton Bern sei für die Behandlung des Falles zuständig. Die Vorinstanz hat sich im angefochtenen Entscheid indessen zur Frage, welcher Kanton materiell zuständig ist, nicht geäussert, sondern ausgeführt, die Beschwerdeführerin habe das Recht zur Geltendmachung der Rüge verwirkt (angefochtener Entscheid S. 3 E. 1c). Mit der Frage der Verwirkung befasst sich die Beschwerdeführerin in ihrer Eingabe vor Bundesgericht nicht.</w:t>
      </w:r>
    </w:p>
    <w:p>
      <w:r>
        <w:t>Auf die Beschwerde ist im Verfahren nach Art. 108 BGG nicht einzutreten.</w:t>
      </w:r>
    </w:p>
    <w:p>
      <w:r>
        <w:t>2.</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Gerichtsgebühr Rechnung zu tragen ( Art. 65 Abs. 2 BGG ). Den Beschwerdegegnern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