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6B_237/2007 vom 5. Oktober 2007</w:t>
      </w:r>
    </w:p>
    <w:p>
      <w:r>
        <w:t>Bundesgericht, 2007-10-05, FR</w:t>
      </w:r>
    </w:p>
    <w:p>
      <w:r>
        <w:rPr>
          <w:b/>
        </w:rPr>
        <w:t xml:space="preserve">Quelle: </w:t>
      </w:r>
      <w:r>
        <w:t>https://mcp.opencaselaw.ch/entscheid/bger_6B_237_2007</w:t>
      </w:r>
    </w:p>
    <w:p>
      <w:r>
        <w:t>FR: TF 6B_237/2007 du 5 octobre 2007</w:t>
      </w:r>
    </w:p>
    <w:p>
      <w:r>
        <w:t>IT: TF 6B_237/2007 del 5 ottobre 2007</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les recourants, qui remplissent manifestement les conditions de l' art. 81 al. 1 LTF , sont habilités à former.</w:t>
      </w:r>
    </w:p>
    <w:p>
      <w:r>
        <w:rPr>
          <w:b/>
        </w:rPr>
        <w:t>E. 1.2</w:t>
      </w:r>
    </w:p>
    <w:p>
      <w:r>
        <w:t>Le recours peut être déposé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 art. 9 Cst. ; ATF 132 III 209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w:t>
      </w:r>
    </w:p>
    <w:p>
      <w:r>
        <w:t>Les recourants se plaignent des peines infligées.</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2.2</w:t>
      </w:r>
    </w:p>
    <w:p>
      <w:r>
        <w:t>Comme sous l'ancien droit, le critère essentiel est celui de la faute. Le législateur reprend, à l'al. 1, les critères des antécédents et de la situation personnelle, et y ajoute la nécessité de considérer l'effet de la peine sur l'avenir du condamné. S'agissant de ce dernier élément, le message explique que le juge n'est pas contraint d'infliger la peine correspondant à la culpabilité de l'auteur s'il y a lieu de prévoir qu'une peine plus clémente suffira à le détourner de commettre d'autres infractions (Message du 21 septembre 1998 du Conseil fédéral concernant la modification du code pénal suisse et du code pénal militaire ainsi qu'une loi fédérale régissant la condition pénale des mineurs, p. 1866). La loi reprend ainsi la jurisprudence selon laquelle le juge doit éviter les sanctions qui pourraient détourner l'intéressé de l'évolution souhaitable ( ATF 128 IV 73 consid. 4 p. 79; 127 IV 97 consid. 3 p. 101). Cet aspect de prévention spéciale ne permet toutefois que des corrections marginales, la peine devant toujours rester proportionnée à la faute (arrêt 6B_14/2007 du Tribunal fédéral du 17 avril 2007 et les références citées).</w:t>
      </w:r>
    </w:p>
    <w:p>
      <w:r>
        <w:t>Codifiant la jurisprudence, l'alinéa 2 de l' art. 47 CP énumère de manière non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p. 20). Sur le plan subjectif, le texte légal cite la motivation et les buts de l'auteur, qui équivalent aux mobiles de l'ancien droit (art. 63 aCP), et la mesure dans laquelle l'auteur aurait pu éviter la mise en danger ou la lésion, qui se réfère au libre choix de l'auteur entre la licéité et l'illicéité (cf. ATF 127 IV 101 consid. 2a p. 103). Concernant ce dernier élément, le législateur enjoint au juge de tenir compte de la situation personnelle de l'intéressé et des circonstances extérieures. La situation personnelle peut, sans donner lieu à des troubles pathologiques selon l' art. 19 CP , altérer sa faculté d'apprécier l'illicéité de son comportement. Les circonstances extérieures se référent par exemple à une situation de nécessité ou de tentation, qui n'atteint cependant pas une intensité suffisante pour justifier une atténuation de la peine (arrêt 6B_14/2007 du Tribunal fédéral du 17 avril 2007 et les références citées).</w:t>
      </w:r>
    </w:p>
    <w:p>
      <w:r>
        <w:rPr>
          <w:b/>
        </w:rPr>
        <w:t>E. 3</w:t>
      </w:r>
    </w:p>
    <w:p>
      <w:r>
        <w:t>Le recourant</w:t>
      </w:r>
    </w:p>
    <w:p>
      <w:r>
        <w:rPr>
          <w:b/>
        </w:rPr>
        <w:t>E. 3.1</w:t>
      </w:r>
    </w:p>
    <w:p>
      <w:r>
        <w:t>Le recourant reproche au Tribunal cantonal de ne pas avoir tenu compte, dans le cadre de sa situation personnelle, de son état de santé, de son grand âge et du rejet de la communauté vietnamienne.</w:t>
      </w:r>
    </w:p>
    <w:p>
      <w:r>
        <w:t>Cette critique est vaine. En effet, la déchéance physique dans laquelle est tombé l'intéressé depuis son attaque cérébrale intervenue postérieurement aux faits, soit en décembre 2003, est sans relation aucune avec ces derniers et ne saurait justifier une quelconque réduction de la peine. Par ailleurs, le fait d'avoir des pertes de mémoires et de se déplacer en déambulateur ne suffit pas pour empêcher l'exécution d'une peine. L'âge du recourant n'implique pas davantage une atténuation de la sanction. Enfin, le rejet exprimé par sa communauté n'est qu'une conséquence compréhensible des faits qui lui sont reprochés, de sorte qu'il est malvenu de l'invoquer pour prétendre à une réduction de peine.</w:t>
      </w:r>
    </w:p>
    <w:p>
      <w:r>
        <w:rPr>
          <w:b/>
        </w:rPr>
        <w:t>E. 3.2</w:t>
      </w:r>
    </w:p>
    <w:p>
      <w:r>
        <w:t>Selon le recourant, les juges cantonaux se trompent en affirmant que l'autorité de première instance a tenu compte de l'écoulement du temps à deux reprises, soit comme circonstance atténuante en application de l'art. 64 aCP et comme élément à décharge dans le cadre de la fixation de la peine au sens de l'art. 63 aCP.</w:t>
      </w:r>
    </w:p>
    <w:p>
      <w:r>
        <w:rPr>
          <w:b/>
        </w:rPr>
        <w:t>E. 3.2.1</w:t>
      </w:r>
    </w:p>
    <w:p>
      <w:r>
        <w:t>L'admission d'une circonstance atténuante prévue par l'art. 64 aCP a pour effet d'élargir vers le bas le cadre légal de la peine, sans obliger le juge à faire usage des facultés ouvertes par l'art. 65 aCP; à la condition de ne pas abuser de son pouvoir d'appréciation, le juge peut en effet tenir compte de la circonstance atténuante dans le cadre ordinaire de la peine ( ATF 116 IV 11 consid. 2e p. 12 ss, 300 consid. 2a p. 302 et les références citées).</w:t>
      </w:r>
    </w:p>
    <w:p>
      <w:r>
        <w:t>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 ATF 118 IV 342 consid. 2b/c p. 347 s.).</w:t>
      </w:r>
    </w:p>
    <w:p>
      <w:r>
        <w:rPr>
          <w:b/>
        </w:rPr>
        <w:t>E. 3.2.2</w:t>
      </w:r>
    </w:p>
    <w:p>
      <w:r>
        <w:t>Dans leur motivation relative à la peine, les juges de première instance ont tout d'abord constaté qu'il convenait de tenir compte à décharge de la circonstance atténuante de l'écoulement du temps au sens de l' art. 64 CP , précisant que les faits s'étaient produits il y a plus de dix ans, que certains étaient prescrits et que d'autres étaient proches de la prescription. Ils ont ensuite relevé que, dans l'absolu, les faits justifiaient une peine de l'ordre de celle requise par le Ministère public, mais qu'ils ne pouvaient se résoudre à envoyer en prison un homme de 60 ans gravement atteint dans sa santé, pour des faits qui s'étaient produits il y a plus de dix ans et qu'une telle sanction, prononcée aussi longtemps après les faits, était disproportionnée. Ils ont finalement estimé, en accordant une large place à la circonstance atténuante de l'écoulement du temps, qu'une peine de l'ordre de dix-huit à vingt et un mois d'emprisonnement était adéquate. Dans leur dispositif, ils se sont notamment référé aux art. 63, 64 et 65 CP .</w:t>
      </w:r>
    </w:p>
    <w:p>
      <w:r>
        <w:t>Les juges cantonaux ont relevé que le Tribunal correctionnel avait tenu compte de l'écoulement du temps à deux reprises, soit comme circonstance atténuante en application de l'art. 64 aCP (et donc implicitement de l'art. 65 aCP) et comme élément à décharge dans le cadre de la fixation de la peine selon l'art. 63 aCP.</w:t>
      </w:r>
    </w:p>
    <w:p>
      <w:r>
        <w:rPr>
          <w:b/>
        </w:rPr>
        <w:t>E. 3.2.3</w:t>
      </w:r>
    </w:p>
    <w:p>
      <w:r>
        <w:t>Au regard de l'argumentation des premiers juges, il est difficile de comprendre comment ceux-ci ont articulé les art. 63 ss aCP. Il reste que, conformément au dispositif, ils ont appliqué, s'agissant de l'écoulement du temps, à la fois l' art. 63 CP et l' art. 65 CP , contrevenant de la sorte à l'interdiction de la double prise en considération (cf. supra consid. 3.2.1). En outre, compte tenu de leur motivation, ils ont manifestement accordé trop d'importance à cette circonstance, celle-ci ayant été mentionnée au moins à trois reprises dans le cadre de l'examen de la peine. Le raisonnement suivi par la Cour de cassation est dès lors fondé et le grief invoqué doit être rejeté.</w:t>
      </w:r>
    </w:p>
    <w:p>
      <w:r>
        <w:rPr>
          <w:b/>
        </w:rPr>
        <w:t>E. 3.3</w:t>
      </w:r>
    </w:p>
    <w:p>
      <w:r>
        <w:t>Selon le recourant, la Cour de cassation se contredit en affirmant qu'il n'y a pas lieu de penser qu'une peine clémente suffirait à le détourner de commettre d'autres infractions, alors qu'il n'a plus eu de comportement délictueux depuis 1996.</w:t>
      </w:r>
    </w:p>
    <w:p>
      <w:r>
        <w:t>Cet argument est vain. En effet, selon les constatations cantonales, l'intéressé, dont la responsabilité pénale est entière, n'a montré aucune empathie, riant lorsque l'expert évoquait les faits et demandant s'il pouvait être considéré comme victime lorsque l'enfant le sodomisait. Son activité délictuelle n'a cessé que lorsque le jeune homme a atteint un âge qui lui a permis de se rebeller. Le recourant n'a jamais clairement manifesté de regrets, ni présenté d'excuses à la victime. De plus, les experts ont considéré que le risque de récidive était important. Dans ces circonstances, la Cour cantonale pouvait, sans contradiction, admettre qu'une peine clémente ne pouvait suffire à le détourner de commettre d'autres infractions, même s'il n'a plus eu, depuis 1996, de comportement délictueux, du moins à l'encontre de D.________, les juges cantonaux ayant par ailleurs tenu compte de ce dernier élément pour accorder un sursis partiel à l'intéressé.</w:t>
      </w:r>
    </w:p>
    <w:p>
      <w:r>
        <w:rPr>
          <w:b/>
        </w:rPr>
        <w:t>E. 3.4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raison de la contrainte sexuelle ( art. 189 ch. 1 CP ), l'infraction abstraitement la plus grave, le recourant encourrait une peine privative de liberté de dix ans au plus ou une peine pécuniaire. Les actes d'ordre sexuel avec des enfants ( art. 187 ch. 1 CP ), qui présentent également une évidente gravité, ainsi que la pornographie ( art. 197 ch. 3bis CP ) entrent en concours ( art. 49 CP ). Les actes commis par l'accusé sont graves. Il a obligé son neveu, qu'il avait fair venir en Suisse en le faisant passer pour son fils adoptif, à se masturber, à le masturber, à lui faire une fellation et à le sodomiser. Les ébats étaient parfois filmés. L'enfant a encore été régulièrement privé de nourriture, battu et menacé. Le recourant a agi dans le seul but de satisfaire ses propres pulsions intimes, considérant l'enfant comme son objet sexuel. Son activité n'a cessé que lorsque la victime a atteint un âge qui lui a permis de se rebeller. Sa responsabilité pénale est entière. Il n'a montré aucune empathie. Il n'a exprimé ni regrets ni remords. A décharge, son casier judiciaire est vierge. Il a signé une reconnaissance de dette en faveur du plaignant. Enfin, il faut tenir compte de la circonstance atténuante de l'écoulement du temps ( art. 48 et 48a CP ). Dans ces circonstances, la peine privative de liberté de trois ans ne procède pas d'un abus du large pouvoir d'appréciation reconnu en ce domaine à l'autorité cantonale.</w:t>
      </w:r>
    </w:p>
    <w:p>
      <w:r>
        <w:rPr>
          <w:b/>
        </w:rPr>
        <w:t>E. 4</w:t>
      </w:r>
    </w:p>
    <w:p>
      <w:r>
        <w:t>La recourante</w:t>
      </w:r>
    </w:p>
    <w:p>
      <w:r>
        <w:rPr>
          <w:b/>
        </w:rPr>
        <w:t>E. 4.1</w:t>
      </w:r>
    </w:p>
    <w:p>
      <w:r>
        <w:t>La recourante reproche au Tribunal cantonal de ne pas avoir tenu compte des difficultés qu'elle a rencontrées depuis les faits, à savoir qu'elle a été licenciée, qu'elle n'ose plus sortir, qu'elle se sent jugée par sa communauté et qu'elle doit s'occuper de son ex-mari.</w:t>
      </w:r>
    </w:p>
    <w:p>
      <w:r>
        <w:t>C'est en vain que l'intéressée invoque ces éléments. La maladie de son partenaire et le fait qu'elle doive s'en occuper sont sans relation avec les actes illicites et ne justifient pas une quelconque réduction de la peine. Le licenciement et le rejet de la part de la communauté vietnamienne ne sont que des conséquences compréhensibles des infractions commises, de sorte que la recourante ne saurait les invoquer pour prétendre à une réduction de peine.</w:t>
      </w:r>
    </w:p>
    <w:p>
      <w:r>
        <w:rPr>
          <w:b/>
        </w:rPr>
        <w:t>E. 4.2</w:t>
      </w:r>
    </w:p>
    <w:p>
      <w:r>
        <w:t>La recourante fait grief à la Cour de cassation de ne pas avoir tenu compte de l'effet de la peine sur son avenir, expliquant qu'elle n'a plus commis de délits depuis 1996 et qu'elle cherche activement un travail depuis son licenciement.</w:t>
      </w:r>
    </w:p>
    <w:p>
      <w:r>
        <w:t>Cette critique tombe à faux, les juges cantonaux ayant retenu qu'il n'y avait pas lieu de penser qu'une peine clémente suffirait à détourner l'intéressée de commettre d'autres infractions. De plus, le fait qu'elle semble s'être bien comportée depuis 1996 ne justifie pas une diminution particulière de la peine, celle-ci devant rester proportionnée à la faute. Enfin, en affirmant chercher un nouveau travail, la recourante s'écarte des constatations cantonales, ce qu'elle est irrecevable à faire (cf. supra consid. 1.3).</w:t>
      </w:r>
    </w:p>
    <w:p>
      <w:r>
        <w:rPr>
          <w:b/>
        </w:rPr>
        <w:t>E. 4.3</w:t>
      </w:r>
    </w:p>
    <w:p>
      <w:r>
        <w:t>La recourante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La culpabilité de la recourante est à peine moins lourde que celle de son ex-mari. Si elle n'a pas pratiqué la sodomie et n'a pas montré de cassettes pornographiques à la victime, elle l'a tout de même masturbée, a participé à la réalisation des fantasmes de son compagnon et a filmé les actes imposés à l'enfant. La circonstance aggravante du concours est réalisée. A décharge, la recourante n'a pas de casier judiciaire. Elle a exprimé des regrets, présenté des excuses à la victime et signé une reconnaissance de dette en faveur de cette dernière. Comme circonstance atténuante, il faut également tenir compte de l'écoulement du temps. Dans ces circonstances, la peine privative de liberté de deux ans et demi ne procède pas d'un abus du large pouvoir d'appréciation reconnu en ce domaine à l'autorité cantonale.</w:t>
      </w:r>
    </w:p>
    <w:p>
      <w:r>
        <w:rPr>
          <w:b/>
        </w:rPr>
        <w:t>E. 5</w:t>
      </w:r>
    </w:p>
    <w:p>
      <w:r>
        <w:t>Les frais</w:t>
      </w:r>
    </w:p>
    <w:p>
      <w:r>
        <w:t>Le recours doit ainsi être rejeté dans la mesure où il est recevable. Comme ses conclusions étaient vouées à l'échec, l'assistance judiciaire doit être refusée ( art. 64 al. 1 CP ) et les recourants, qui succombent, supporteront solidairement les frais ( art. 66 al. 1 et 5 LTF ), dont le montant sera fixé en tenant compte de leur situation financière ( art. 65 al. 2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