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6B_235/2015 vom 2. April 2015</w:t>
      </w:r>
    </w:p>
    <w:p>
      <w:r>
        <w:t>Bundesgericht, 2015-04-02, DE</w:t>
      </w:r>
    </w:p>
    <w:p>
      <w:r>
        <w:rPr>
          <w:b/>
        </w:rPr>
        <w:t xml:space="preserve">Quelle: </w:t>
      </w:r>
      <w:r>
        <w:t>https://mcp.opencaselaw.ch/entscheid/bger_6B_235_2015</w:t>
      </w:r>
    </w:p>
    <w:p>
      <w:r>
        <w:t>FR: TF 6B_235/2015 du 2 avril 2015</w:t>
      </w:r>
    </w:p>
    <w:p>
      <w:r>
        <w:t>IT: TF 6B_235/2015 del 2 aprile 2015</w:t>
      </w:r>
    </w:p>
    <w:p>
      <w:pPr>
        <w:pStyle w:val="Heading2"/>
      </w:pPr>
      <w:r>
        <w:t>Erwägungen</w:t>
      </w:r>
    </w:p>
    <w:p>
      <w:r>
        <w:rPr>
          <w:b/>
        </w:rPr>
        <w:t>E. 1</w:t>
      </w:r>
    </w:p>
    <w:p>
      <w:r>
        <w:t>Generalstaatsanwaltschaft des Kantons Bern, Maulbeerstrasse 10, 3011 Bern,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w:t>
      </w:r>
    </w:p>
    <w:p>
      <w:r>
        <w:t>Der Beschwerdeführer äussert sich zur Frage der Legitimation und insbesondere dazu, ob und gegebenenfalls welche Zivilforderung er stellen will, nicht. Eine solche ist bei Tätlichkeiten auch nicht ohne Weiteres ersichtlich. Auf die Beschwerde ist mangels Legitimation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Rechtsbegehen aussichtslos erschienen. Dem jugendlichen Alter des Beschwerdeführers (Jahrgang 2004) und den finanziellen Verhältnissen seines Vaters (act. 10 und 11) ist durch eine erhebliche Herabsetzung der Gerichtskosten Rechnung zu tragen.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