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233/2013 vom 3. Juni 2013</w:t>
      </w:r>
    </w:p>
    <w:p>
      <w:r>
        <w:t>Bundesgericht, 2013-06-03, FR</w:t>
      </w:r>
    </w:p>
    <w:p>
      <w:r>
        <w:rPr>
          <w:b/>
        </w:rPr>
        <w:t xml:space="preserve">Quelle: </w:t>
      </w:r>
      <w:r>
        <w:t>https://mcp.opencaselaw.ch/entscheid/bger_6B_233_2013</w:t>
      </w:r>
    </w:p>
    <w:p>
      <w:r>
        <w:t>FR: TF 6B 233/2013 du 3 juin 2013</w:t>
      </w:r>
    </w:p>
    <w:p>
      <w:r>
        <w:t>IT: TF 6B 233/2013 del 3 giugno 2013</w:t>
      </w:r>
    </w:p>
    <w:p>
      <w:pPr>
        <w:pStyle w:val="Heading2"/>
      </w:pPr>
      <w:r>
        <w:t>Regeste</w:t>
      </w:r>
    </w:p>
    <w:p>
      <w:r>
        <w:t>Arbitraire (art. 9 Cst.); abus de confiance (art. 138 CP); gestion déloyale (art. 158 CP) | Droit pénal (en général)</w:t>
      </w:r>
    </w:p>
    <w:p>
      <w:pPr>
        <w:pStyle w:val="Heading2"/>
      </w:pPr>
      <w:r>
        <w:t>Erwägungen</w:t>
      </w:r>
    </w:p>
    <w:p>
      <w:r>
        <w:rPr>
          <w:b/>
        </w:rPr>
        <w:t>E. 1</w:t>
      </w:r>
    </w:p>
    <w:p>
      <w:r>
        <w:t>Le Tribunal fédéral examine d'office et librement la recevabilité des recours qui lui sont soumis ( ATF 138 I 367 consid. 1 p. 369; 136 II 470 consid. 1 p. 472).</w:t>
      </w:r>
    </w:p>
    <w:p>
      <w:r>
        <w:rPr>
          <w:b/>
        </w:rPr>
        <w:t>E. 1.1</w:t>
      </w:r>
    </w:p>
    <w:p>
      <w:r>
        <w:t>Selon l' art. 81 al. 1 LTF , a qualité pour former un recours en matière pénale quiconque a pris part à la procédure devant l'autorité précédente (let. a) et a un intérêt juridique à l'annulation ou à la modification de la décision attaquée (let. b). La lettre b de cette disposition dresse une liste, non exhaustive, des personnes qui ont un tel intérêt juridique. Selon l'art. 81 al. 1 let. b ch. 5 LTF, la partie plaignante qui a participé à la procédure de dernière instance cantonale est habilitée à recourir au Tribunal fédéral si la décision attaquée peut avoir des effets sur le jugement de ses prétentions civiles. Selon l' art. 42 al. 1 LTF , il incombe notamment au recourant d'alléguer les faits qu'il considère comme propres à fonder sa qualité pour recourir (cf. ATF 133 II 353 consid. 1 p. 356, 249 consid. 1.1 p. 251). On entend par partie plaignante le lésé qui déclare expressément vouloir participer à la procédure pénale comme demandeur au pénal ou au civil ( art. 118 al. 1 CPP ). L' art. 115 al. 1 CPP définit le lésé comme la personne dont les droits ont été touchés directement par une infraction. Lorsque la norme protège un bien juridique individuel, la qualité de lésé appartient au titulaire de ce bien ( ATF 138 IV 258 consid. 2.3 p. 263; 129 IV 95 consid. 3.1 p. 98 s.; 126 IV 42 consid. 2a p. 43-44; 117 Ia 135 consid. 2a p. 137; CAMILLE PERRIER, in Commentaire romand, Code de procédure pénale suisse, 2011, n° 6 et 8 ad art. 115 CPP ). Pour déterminer si une personne est lésée par une infraction, il convient d'interpréter le texte de la disposition pour savoir qui est le titulaire du bien juridique que celle-ci protège (PERRIER, op. cit., n° 8 et 11 ad art. 115 CPP ).</w:t>
      </w:r>
    </w:p>
    <w:p>
      <w:r>
        <w:rPr>
          <w:b/>
        </w:rPr>
        <w:t>E. 1.2</w:t>
      </w:r>
    </w:p>
    <w:p>
      <w:r>
        <w:t>En l'espèce, la recourante accuse l'intimé de s'être rendu coupable d'abus de confiance et/ou de gestion déloyale. Elle lui reproche d'avoir encaissé personnellement, alors qu'il était directeur adjoint de la recourante, des commissions sur la vente de deux terrains, commissions qui, selon elle, auraient dû lui revenir. Les deux infractions que la recourante reproche à l'intimé protègent le patrimoine d'autrui. Titulaire du patrimoine prétendument atteint par les agissements de l'intimé, la recourante est bien lésée par les infractions dénoncées. Ayant déposé une plainte pénale, elle revêt donc la qualité de partie plaignante. Pour le surplus, les conditions posées à l' art. 81 LTF sont réalisées: la recourante a participé à la procédure devant l'autorité précédente. Si l'intimé a restitué les commissions perçues, il n'a jamais remboursé les intérêts moratoires réclamés, et la recourante a pris des conclusions civiles dans ce sens devant le premier juge. La décision attaquée est dès lors de nature à influencer le jugement des prétentions civiles de la recourante, qui a qualité pour recourir.</w:t>
      </w:r>
    </w:p>
    <w:p>
      <w:r>
        <w:rPr>
          <w:b/>
        </w:rPr>
        <w:t>E. 2</w:t>
      </w:r>
    </w:p>
    <w:p>
      <w:r>
        <w:t>La recourante s'en prend d'abord à l'état de fait cantonal.</w:t>
      </w:r>
    </w:p>
    <w:p>
      <w:r>
        <w:rPr>
          <w:b/>
        </w:rPr>
        <w:t>E. 2.1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2.2</w:t>
      </w:r>
    </w:p>
    <w:p>
      <w:r>
        <w:t>Dans une partie intitulée " rappel des faits essentiels ", la recourante résume les faits que la cour cantonale aurait omis, alors que ceux-ci seraient pertinents. Le seul énoncé de faits, avec référence à des pièces, ne suffit toutefois pas à établir l'arbitraire ( art. 106 al. 2 LTF ). La cour de céans ne tiendra donc pas compte de ce rappel des faits, mais se fondera uniquement sur les faits constatés par la cour cantonale.</w:t>
      </w:r>
    </w:p>
    <w:p>
      <w:r>
        <w:rPr>
          <w:b/>
        </w:rPr>
        <w:t>E. 3</w:t>
      </w:r>
    </w:p>
    <w:p>
      <w:r>
        <w:t>La recourante soutient que l'intimé s'est rendu coupable de gestion déloyale. 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3.1</w:t>
      </w:r>
    </w:p>
    <w:p>
      <w:r>
        <w:t>La cour cantonale s'est limitée à constater l'absence d'un seul élément constitutif, à savoir la violation du devoir de gestion. Elle a expliqué que les opérations effectuées à l'étranger n'entraient pas dans le cadre des activités de la société X.________ et que l'intimé n'assumait aucune fonction dans la société Y.________, agence de la recourante qui aurait été appelée à intervenir en qualité de courtier dans les opérations litigieuses. Se fondant sur l' ATF 109 IV 111 , la recourante fait valoir que l'intimé en tant que directeur adjoint de la société X.________ (société mère) devait veiller aux intérêts de la filiale Y.________.</w:t>
      </w:r>
    </w:p>
    <w:p>
      <w:r>
        <w:rPr>
          <w:b/>
        </w:rPr>
        <w:t>E. 3.2</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6B_446/2010 du 14 octobre 2010, consid. 8.4.1) . La question de savoir si, dans un groupe de sociétés, le devoir de fidélité n'est dû qu'à une seule société, ou au groupe dans son ensemble est délicate. La particularité du groupe de sociétés tient au fait que plusieurs sociétés juridiquement indépendantes sont réunies sous une direction unique. En principe, il faut partir de l'idée que le devoir de fidélité qui découle du contrat de travail n'est dû qu'à la société qui apparaît contractuellement comme l'employeur. Toutefois, il est admis que, dans un groupe de sociétés, en raison du lien économique, un devoir de fidélité élargi peut également exister en faveur des autres sociétés du groupe ( ATF 130 III 213 consid 2.2.1 p. 217). Ainsi, dans un arrêt publié aux ATF 109 IV 111 , le Tribunal fédéral a considéré que le gérant d'une filiale avait également un devoir de veiller sur les intérêts de la société mère lorsqu'une telle obligation résultait de l'organisation et du but de la société fille ( ATF 109 IV 111 consid. 2 p. 113).</w:t>
      </w:r>
    </w:p>
    <w:p>
      <w:r>
        <w:rPr>
          <w:b/>
        </w:rPr>
        <w:t>E. 3.3</w:t>
      </w:r>
    </w:p>
    <w:p>
      <w:r>
        <w:t>Selon l'arrêt attaqué, la recourante ne disposait pas des autorisations nécessaires pour exercer l'activité de courtage en France (arrêt attaqué p. 4, a contrario). Les mandats litigieux ne relevaient donc pas de la compétence de la recourante. En agissant sur le territoire français, l'intimé ne portait donc pas atteinte aux intérêts de cette dernière. La recourante soutient que les mandats litigieux relevaient de la compétence de l'agence Y.________ et que l'intimé devait veiller aux intérêts de celle-ci en tant que filiale de la société X.________. Cet argument est infondé. En effet, la filiale est soumise à la direction unique de la société mère ( ATF 130 III 213 consid 2.2.1 p. 217). Or, l'arrêt attaqué retient que " la recourante exploite une agence immobilière en France sous le sigle Y.________, qui est au bénéfice des autorisations nécessaires pour une telle activité " (arrêt attaqué p. 4). On ne peut déduire de ces constatations que l'agence Y.________ est une filiale de la recourante et qu'elle a été constituée dans les seuls intérêts économiques de la société mère. En affirmant le contraire, la recourante s'écarte des faits constatés par la cour cantonale, sans pour autant démontrer que ceux-ci sont arbitraires; dans cette mesure, son argumentation est irrecevable (art. 105 al. 1 et 97 al. 1 LTF; art. 106 al. 2 LTF ). C'est également en vain que la recourante soutient que l'intimé avait l'obligation de diriger les opportunités commerciales vers Y.________. La note de " TBM à DL " sur laquelle elle se fonde constate que " chaque collaborateur a l'obligation de faire ce qui est en son pouvoir pour, lorsqu'il en a l'occasion, diriger/amener des clients à l'entreprise, même si c'est dans un autre service que le sien ". Cette note parle d' "entreprise " et de " service " et non de l'agence Y.________. S'écartant des faits constatés, l'argumentation de la recourante est donc irrecevable. En définitive, l'intimé n'a violé aucun devoir de gestion, que ce soit à l'égard de la recourante ou de l'agence Y.________. L'infraction de gestion déloyale ne peut donc être retenue, sans qu'il soit nécessaire d'examiner les autres éléments constitutifs. Le grief tiré de la violation de l' art. 158 CP doit donc être rejeté.</w:t>
      </w:r>
    </w:p>
    <w:p>
      <w:r>
        <w:rPr>
          <w:b/>
        </w:rPr>
        <w:t>E. 4</w:t>
      </w:r>
    </w:p>
    <w:p>
      <w:r>
        <w:t>La recourante soutient que l'intimé doit être condamné pour abus de confiance. Commet un abus de confiance au sens de l' art. 138 ch. 1 al. 2 CP celui qui, sans droit, aura employé à son profit ou au profit d'un tiers des valeurs patrimoniales qui lui avaient été confiées.</w:t>
      </w:r>
    </w:p>
    <w:p>
      <w:r>
        <w:rPr>
          <w:b/>
        </w:rPr>
        <w:t>E. 4.1</w:t>
      </w:r>
    </w:p>
    <w:p>
      <w:r>
        <w:t>La cour cantonale a retenu que " l'intimé a été approché en tant que personne privée par des tiers qui ne souhaitaient pas contracter avec l'appelante mais avec l'intimé. Les sommes que ce dernier a reçues ne lui ont donc pas été confiées, à charge pour lui de les remettre à son employeur, mais données en tant que rémunération pour des services qu'il avait lui-même rendus ". La recourante reproche à la cour cantonale de s'être fondée uniquement sur la volonté exprimée par l'intimé et F.________. Or, selon elle, lorsque l'auteur reçoit la valeur patrimoniale litigieuse dans le contexte d'un rapport commercial qui lui impose une restitution à un tiers, le fait que l'auteur et son complice s'arrangent entre eux pour que la valeur soit réputée remise à un autre titre demeure sans incidence. Au contraire, il conviendrait d'analyser l'ensemble des circonstances concrètes.</w:t>
      </w:r>
    </w:p>
    <w:p>
      <w:r>
        <w:rPr>
          <w:b/>
        </w:rPr>
        <w:t>E. 4.2</w:t>
      </w:r>
    </w:p>
    <w:p>
      <w:r>
        <w:t>L'auteur d'un abus de confiance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p. 27).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118 IV 239 consid. 2b, spéc. p. 241 s. et les références citées). Pour déterminer si l'auteur reçoit les valeurs comme auxiliaire de l'encaissement, le juge doit analyser le rapport de confiance liant l'auteur et le lésé; la volonté du tiers qui remet les valeurs à l'auteur n'est pas déterminante dans ce contexte.</w:t>
      </w:r>
    </w:p>
    <w:p>
      <w:r>
        <w:rPr>
          <w:b/>
        </w:rPr>
        <w:t>E. 4.3</w:t>
      </w:r>
    </w:p>
    <w:p>
      <w:r>
        <w:t>En l'espèce, il ressort des faits constatés que la recourante ne bénéficiait pas des autorisations pour exercer son activité de courtage immobilier en France d'une manière habituelle, de sorte que l'intimé, en tant qu'employé de la recourante, n'avait pas le droit d'intervenir en France. Dès lors, l'intimé a agi à titre personnel en trouvant un acquéreur pour les terrains de F.________, en raison d'un mandat qui ne rentrait pas dans ses attributions au sein de la société X.________. Les commissions litigieuses ont donc été versées à l'intimé personnellement; elles ne lui ont pas été confiées, de sorte que la cour cantonale n'a pas violé le droit fédéral en acquittant ce dernier de l'infraction d'abus de confiance. La recourante soutient que l'intimé a violé ses obligations contractuelles en ne signalant pas à son employeur, respectivement à sa filiale Y.________, que F.________ disposait de deux terrains à vendre. Elle explique que l'obligation de restituer, prévue par le contrat de travail ( art. 321 b al. 1 CO ), porte aussi sur des paiements irréguliers ou sur le gain que l'employé a réalisé en agissant pour son propre compte au détriment des intérêts de son employeur, en violation de son devoir de fidélité. Par cette argumentation, la recourante s'écarte des faits constatés, sans démontrer pour autant que ceux-ci sont arbitraires (cf. consid. 3.3). Cette argumentation est dès lors irrecevable. Au demeurant, il y a lieu de relever qu'une obligation légale ou contractuelle de restituer ne donne pas à un bien le caractère de chose confiée ( ATF 80 IV 53 p. 55).</w:t>
      </w:r>
    </w:p>
    <w:p>
      <w:r>
        <w:rPr>
          <w:b/>
        </w:rPr>
        <w:t>E. 5</w:t>
      </w:r>
    </w:p>
    <w:p>
      <w:r>
        <w:t>La recourante se plaint du fait que ses conclusions civiles ne lui ont pas été allouées. Dans la mesure où l'intimé est acquitté, ce grief est infondé.</w:t>
      </w:r>
    </w:p>
    <w:p>
      <w:r>
        <w:rPr>
          <w:b/>
        </w:rPr>
        <w:t>E. 6</w:t>
      </w:r>
    </w:p>
    <w:p>
      <w:r>
        <w:t>La recourante soutient que les frais de procédure doivent être mis à la charge de l'intimé, bien qu'acquitté, car ce dernier a fautivement provoqué l'ouverture de la procédure pénale dirigée contre lui ( art. 426 al. 2 CPP ). Ce grief est insuffisamment motivé ( art. 42 al. 2 LTF ) et, partant, irrecevable.</w:t>
      </w:r>
    </w:p>
    <w:p>
      <w:r>
        <w:rPr>
          <w:b/>
        </w:rPr>
        <w:t>E. 7</w:t>
      </w:r>
    </w:p>
    <w:p>
      <w:r>
        <w:t>La recourante fait valoir qu'elle a droit à une indemnité pour les dépenses obligatoires occasionnées par la procédure, en application de l' art. 433 al. 1 CPP . Ce grief est infondé, dans la mesure où la recourante n'a pas obtenu gain de cause et qu'il n'a pas été retenu que l'intimé avait provoqué l'ouverture de la procédure pénale dirigée contre lui ( art. 426 al. 2 CPP ).</w:t>
      </w:r>
    </w:p>
    <w:p>
      <w:r>
        <w:rPr>
          <w:b/>
        </w:rPr>
        <w:t>E. 8</w:t>
      </w:r>
    </w:p>
    <w:p>
      <w:r>
        <w:t>Le recours doit être rejeté dans la mesure où il est recevable. La recourante qui succombe doit supporter les frais ( art. 66 al. 1 LTF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