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6B_232/2020 vom 10. Juni 2020</w:t>
      </w:r>
    </w:p>
    <w:p>
      <w:r>
        <w:t>Bundesgericht, 2020-06-10, FR</w:t>
      </w:r>
    </w:p>
    <w:p>
      <w:r>
        <w:rPr>
          <w:b/>
        </w:rPr>
        <w:t xml:space="preserve">Quelle: </w:t>
      </w:r>
      <w:r>
        <w:t>https://mcp.opencaselaw.ch/entscheid/bger_6B_232_2020</w:t>
      </w:r>
    </w:p>
    <w:p>
      <w:r>
        <w:t>FR: TF 6B_232/2020 du 10 juin 2020</w:t>
      </w:r>
    </w:p>
    <w:p>
      <w:r>
        <w:t>IT: TF 6B_232/2020 del 10 giugno 2020</w:t>
      </w:r>
    </w:p>
    <w:p>
      <w:pPr>
        <w:pStyle w:val="Heading2"/>
      </w:pPr>
      <w:r>
        <w:t>Erwägungen</w:t>
      </w:r>
    </w:p>
    <w:p>
      <w:r>
        <w:rPr>
          <w:b/>
        </w:rPr>
        <w:t>E. 1</w:t>
      </w:r>
    </w:p>
    <w:p>
      <w:r>
        <w:t>Aux termes de l' art. 54 al. 1 LTF , la procédure est conduite dans l'une des langues officielles (allemand, français, italien, rumantsch grischun), en règle générale dans la langue de la décision attaquée. Si les parties utilisent une autre langue officielle, celle-ci peut être adoptée.</w:t>
      </w:r>
    </w:p>
    <w:p>
      <w:r>
        <w:t>En l'occurrence, l'arrêt attaqué a été rédigé en français. Il y a lieu de rendre le présent arrêt dans cette langue, quand bien même le mémoire de recours de la recourante a été libellé en allemand, comme l'autorise l' art. 42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La recourante explique que B.________ aurait soustrait des montants durant son activité en son sein, raison pour laquelle il a été condamné, en Angleterre, à payer d'importants montants à titre de dommages-intérêts, de même qu'au Kazakhstan. Elle ajoute que le prénommé aurait, par des actes d'escroquerie, acquis des droits qu'elle détenait, par le biais de structures</w:t>
      </w:r>
    </w:p>
    <w:p>
      <w:r>
        <w:t>offshore , sur des champs pétrolifères kazakhs. B.________ aurait cédé ces droits au moyen d'un ensemble complexe de compagnies, procédant à une entrée en bourse. Les gains ainsi obtenus auraient, à hauteur de quelque 439 millions d'USD et grâce au concours de personnes dénoncées dans les plaintes, à nouveau été transférés par le biais de structures complexes. Pour cela, les personnes dénoncées auraient utilisé diverses sociétés de domicile et des structures de comptes, notamment à Chypre et en Tanzanie, pour envoyer l'argent en particulier en Suisse afin de l'y réinvestir en faveur de B.________, respectivement pour son gendre D.________ ou d'autres membres de la famille et personnes proches. La recourante précise avoir détaillé, dans ses plaintes, les éléments permettant de soupçonner B.________ et les autres personnes dénoncées de s'être livrés à des actes de blanchiment d'argent aggravés. Elle indique enfin qu'elle pourrait élever des prétentions civiles non seulement à l'encontre de ce dernier, mais encore contre les autres personnes dénoncées dans ses plaintes. En outre, elle rappelle que le refus d'entrer en matière sur lesdites plaintes a eu pour conséquence le refus des mesures conservatoires requises - notamment le séquestre de valeurs patrimoniales -, lesquelles auraient par la suite pu lui être attribuées sur la base de l' art. 73 CP .</w:t>
      </w:r>
    </w:p>
    <w:p>
      <w:r>
        <w:t>Selon la jurisprudence, l'infraction de blanchiment d'argent est certes notamment susceptible de protéger les intérêts patrimoniaux des personnes lésées par le crime préalable (cf. ATF 145 IV 335 consid. 4.5.1 p. 347; 129 IV 322 consid. 2.2.4 p. 325 ss). Cependant, en l'occurrence, la motivation de la recourante ne permet pas de comprendre si et dans quelle mesure celle-ci pourrait faire valoir - contre B.________ ou les autres personnes dénoncées - des prétentions civiles distinctes de celles qui lui ont déjà été octroyées à l'étranger dans les décisions qu'elle évoque. La recourante ne prétend pas, en particulier, qu'elle n'aurait pas pleinement obtenu réparation s'agissant des agissements qu'elle décrit, mais mentionne essentiellement la possibilité de procéder à des séquestres en vue d'une allocation au lésé, soit de mettre en oeuvre des mesures d'exécution de décisions judiciaires.</w:t>
      </w:r>
    </w:p>
    <w:p>
      <w:r>
        <w:t>En outre, la recourante prétend avoir été pillée par B.________, mais admet par ailleurs avoir bénéficié d'un assainissement par l'entrée, dès 2009, d'un fonds souverain kazakh dans son capital (cf. arrêt attaqué, p. 9). A cet égard également, l'intéressée n'explique pas dans quelle mesure elle pourrait encore prétendre obtenir la réparation d'un éventuel préjudice.</w:t>
      </w:r>
    </w:p>
    <w:p>
      <w:r>
        <w:t>Compte tenu de ce qui précède, à défaut d'une motivation suffisante en la matière, la recourante n'a pas la qualité pour recourir sur le fond de la cause au regard de l'art. 81 al. 1 let. b ch. 5 LTF.</w:t>
      </w:r>
    </w:p>
    <w:p>
      <w:r>
        <w:rPr>
          <w:b/>
        </w:rPr>
        <w:t>E. 2.3</w:t>
      </w:r>
    </w:p>
    <w:p>
      <w:r>
        <w:t>L'hypothèse visée à l'art. 81 al. 1 let. b ch. 6 LTF n'entre pas, quant à elle, en considération, la recourante ne soulevant aucun grief relatif à son droit de porter plainte.</w:t>
      </w:r>
    </w:p>
    <w:p>
      <w:r>
        <w:rPr>
          <w:b/>
        </w:rPr>
        <w:t>E. 3.1</w:t>
      </w:r>
    </w:p>
    <w:p>
      <w:r>
        <w:t>Indépendamment des conditions posées par l'art. 81 al. 1 let.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3.2</w:t>
      </w:r>
    </w:p>
    <w:p>
      <w:r>
        <w:t>En l'espèce, la recourante se plaint d'une violation de son droit d'être entendue, en reprochant au ministère public d'avoir refusé d'entrer en matière sur ses plaintes. Selon elle, une instruction aurait matériellement été ouverte et n'aurait donc pu déboucher que sur un classement. Un tel grief, d'ordre formel, est a priori recevable (cf. arrêt 6B_810/2019 du 22 juillet 2019 consid. 2.1).</w:t>
      </w:r>
    </w:p>
    <w:p>
      <w:r>
        <w:t>La recourante fait grand cas d'un courrier du 3 octobre 2019, par lequel le ministère public lui a fait savoir qu'elle pouvait se constituer partie plaignante et bénéficier de l'accès au dossier. Elle en déduit qu'une procédure préliminaire aurait été ouverte conformément à l' art. 300 al. 1 let. b CPP , l'accès au dossier lui ayant été garanti sur la base de l' art. 101 CPP , applicable pour les procédures pendantes.</w:t>
      </w:r>
    </w:p>
    <w:p>
      <w:r>
        <w:rPr>
          <w:b/>
        </w:rPr>
        <w:t>E. 3.3</w:t>
      </w:r>
    </w:p>
    <w:p>
      <w:r>
        <w:t>Cette argumentation tombe à faux. La recourante ne conteste pas que, comme l'a relevé la cour cantonale, le ministère public n'a procédé à aucun acte d'instruction avant de rendre l'ordonnance de non-entrée en matière du 21 novembre 2019. On ne distingue pas, sur ce point, une éventuelle violation des art. 309 et 310 CPP (cf. à cet égard l'arrêt 6B_810/2019 précité consid. 2.1 et les références citées).</w:t>
      </w:r>
    </w:p>
    <w:p>
      <w:r>
        <w:t>De toute manière, à supposer même que le ministère eût à tort accordé à la recourante un accès au dossier - question qui peut être laissée ouverte en l'occurrence -, on ne voit pas - et l'intéressée ne l'explique pas - quel préjudice aurait pu en résulter, pour elle, en matière de droit d'être entendu. Or, il convient de rappeler que même lorsque le ministère public rend une ordonnance de non-entrée en matière au lieu d'une ordonnance de classement, il ne se justifie pas d'annuler cette décision lorsque le recourant n'a subi aucun dommage de ce fait (cf. arrêts 6B_1051/2018 du 19 décembre 2018 consid. 2.4.1; 6B_875/2018 du 15 novembre 2018 consid. 2.2.2 et les références citées). L'autorité précédente n'a donc pas violé le droit fédéral en refusant d'annuler l'ordonnance de non-entrée en matière du 21 novembre 2019.</w:t>
      </w:r>
    </w:p>
    <w:p>
      <w:r>
        <w:rPr>
          <w:b/>
        </w:rPr>
        <w:t>E. 4</w:t>
      </w:r>
    </w:p>
    <w:p>
      <w:r>
        <w:t>La recourante reproche à la cour cantonale d'avoir violé son droit d'être entendue en s'abstenant de statuer sur l'un des griefs principaux développés dans son recours cantonal.</w:t>
      </w:r>
    </w:p>
    <w:p>
      <w:r>
        <w:t>En substance, l'intéressée soutient que, dans son recours dirigé contre l'ordonnance de non-entrée en matière du 21 novembre 2019, elle a contesté la motivation du ministère public, selon laquelle les mouvements de fonds dénoncés ne pouvaient être rattachés à une infraction préalable, de sorte que l'éventuelle commission d'une infraction de blanchiment d'argent n'apparaissait pas. Selon elle, la cour cantonale aurait ignoré son argumentation tendant à démontrer que les flux financiers identifiés rendaient eux-mêmes vraisemblable la commission d'une infraction de blanchiment d'argent, cela indépendamment de la preuve d'une origine criminelle des fonds concernés. La recourante prétend avoir pourtant démontré, dans son recours cantonal, l'existence de montages typiques d'un vaste blanchiment d'argent, en identifiant des flux financiers entre de nombreuses structures juridiques, notamment des sociétés</w:t>
      </w:r>
    </w:p>
    <w:p>
      <w:r>
        <w:t>offshore , des sociétés de domicile ou des structures de comptes.</w:t>
      </w:r>
    </w:p>
    <w:p>
      <w:r>
        <w:t>Cette argumentation ne peut être séparée du fond de la cause (cf. ATF 141 IV 1 consid. 1.1 p. 5), puisqu'elle revient en réalité à contester le refus d'entrer en matière concernant les infractions dénoncées, cela en rediscutant les motifs ayant conduit l'autorité précédente à nier l'existence des éléments constitutifs desdites infractions. Partant, l'argumentation de la recourante est également, sur ce point, irrecevable.</w:t>
      </w:r>
    </w:p>
    <w:p>
      <w:r>
        <w:t>Il en va de même s'agissant du grief de la recourante par lequel cette dernière prétend que le refus d'entrer en matière sur ses plaintes consacrerait une violation des art. 6 et 7 CPP ainsi qu'un déni de justice. En effet, son argumentation à ce propos revient derechef à contester les motifs ayant matériellement conduit la cour cantonale à confirmer le refus d'entrer en matière sur les plaintes de l'intéressée.</w:t>
      </w:r>
    </w:p>
    <w:p>
      <w:r>
        <w:rPr>
          <w:b/>
        </w:rPr>
        <w:t>E. 5</w:t>
      </w:r>
    </w:p>
    <w:p>
      <w:r>
        <w:t>Au vu de ce qui précède, le recours doit être rejeté dans la mesure où il est recevable. La recourante, qui succombe, supporte les frais judiciaires ( art. 66 al. 1 LTF ).</w:t>
      </w:r>
    </w:p>
    <w:p>
      <w:r>
        <w:t>La cause étant jugée, point n'est besoin de statuer sur les mesures provisionnelles requises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