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6B_230/2025 vom 18. August 2025</w:t>
      </w:r>
    </w:p>
    <w:p>
      <w:r>
        <w:t>Bundesgericht, 2025-08-18, DE</w:t>
      </w:r>
    </w:p>
    <w:p>
      <w:r>
        <w:rPr>
          <w:b/>
        </w:rPr>
        <w:t xml:space="preserve">Quelle: </w:t>
      </w:r>
      <w:r>
        <w:t>https://mcp.opencaselaw.ch/entscheid/bger_6B_230_2025</w:t>
      </w:r>
    </w:p>
    <w:p>
      <w:r>
        <w:t>FR: TF 6B_230/2025 du 18 août 2025</w:t>
      </w:r>
    </w:p>
    <w:p>
      <w:r>
        <w:t>IT: TF 6B_230/2025 del 18 agosto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mehrfacher versuchter Erpressung. Er rügt, die Vorinstanz habe auf unverwertbare Aussagen abgestellt.</w:t>
      </w:r>
    </w:p>
    <w:p>
      <w:r>
        <w:rPr>
          <w:b/>
        </w:rPr>
        <w:t>E. 2.1.1</w:t>
      </w:r>
    </w:p>
    <w:p>
      <w:r>
        <w:t>Art. 130 und 131 StPO regeln die notwendige Verteidigung. Gemäss Art. 130 lit. b StPO besteht insbesondere dann ein gesetzlicher Anspruch auf notwendige Verteidigung, wenn der beschuldigten Person eine Freiheitsstrafe von mehr als einem Jahr, eine freiheitsentziehende Massnahme oder eine Landesverweisung droht. Liegt ein solcher Fall vor, so achtet die Verfahrensleitung darauf, dass unverzüglich eine Verteidigung bestellt wird ( Art. 131 Abs. 1 StPO ; BGE 145 IV 407 E. 1.3.1 mit Hinweisen). Sie hat die Voraussetzungen von Amtes wegen zu prüfen und über die notwendige Verteidigung zu befinden ( BGE 143 I 164 E. 2.2 ; 131 I 350 E. 2.1; Urteil 6B_506/2024 vom 11. September 2024 E. 1.2.1; je mit Hinweisen). Sind die Voraussetzungen der notwendigen Verteidigung bei Einleitung des Verfahrens erfüllt, so ist die Verteidigung nach der ersten Einvernahme durch die Staatsanwaltschaft, jedenfalls aber vor Eröffnung der Untersuchung sicherzustellen ( Art. 131 Abs. 2 StPO in der bis zum 31. Dezember 2023 geltenden Fassung). In Fällen, in denen die Verteidigung erkennbar notwendig gewesen wäre und Beweise erhoben wurden, bevor eine Verteidigung bestellt wurde, gilt die Beweiserhebung nur als gültig, wenn die beschuldigte Person auf ihre Wiederholung verzichtet ( Art. 131 Abs. 3 StPO in der bis zum 31. Dezember 2023 geltenden Fassung; vgl. zum uneinheitlichen Wortlaut der verschiedenen Sprachfassungen und zu der per 1. Januar 2024 erfolgten Anpassung: Urteile 6B_452/2023 vom 20. Oktober 2023 E. 1.3.3; 6B_622/2023 vom 20. September 2023 E. 1.3.1; je mit Hinweisen). Bei notwendiger Verteidigung ordnet die Verfahrensleitung eine amtliche Verteidigung an, wenn die beschuldigte Person trotz Aufforderung der Verfahrensleitung keine Wahlverteidigung bestimmt oder der Wahlverteidigung das Mandat entzogen wurde oder sie es niedergelegt hat und die beschuldigte Person nicht innert Frist eine neue Wahlverteidigung bestimmt ( Art. 132 Abs. 1 lit. a StPO ; vgl. zum Ganzen: Urteil 6B_563/2021 vom 22. Dezember 2022 E. 2.3.1).</w:t>
      </w:r>
    </w:p>
    <w:p>
      <w:r>
        <w:rPr>
          <w:b/>
        </w:rPr>
        <w:t>E. 2.1.2</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150 IV 345 E. 1.6.3.1; 143 IV 397 E. 3.3.1; 141 IV 220 E. 4.4; 139 IV 25 E. 4.2; je mit Hinweisen). Nach Art. 147 Abs. 4 StPO dürfen Beweise, die in Verletzung der Bestimmungen von Art. 147 StPO erhoben worden sind, nicht zulasten der Partei verwendet werden, die abwesend war ( BGE 150 IV 345 E. 1.6.3.1; 143 IV 397 E. 3.3.1, 457 E. 1.6.1; 139 IV 25 E. 4.2 und 5.4.1; je mit Hinweisen). 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6B_426/2023 vom 16. August 2023 E. 2.1.1; 6B_1078/2020 vom 26. Oktober 2022 E. 2.4.2; 6B_780/2021 vom 16. Dezember 2021 E. 1.2, nicht publ. in: BGE 148 IV 145 ;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150 IV 345 E. 1.6.3.1; 143 IV 397 E. 3.3.2; je mit Hinweisen). Eine Einvernahme, an der das Teilnahmerecht der beschuldigten Person gemäss Art. 147 Abs. 1 StPO unzulässigerweise nicht gewährleistet wurde und die daher gemäss Art. 147 Abs. 4 StPO nicht zulasten der abwesenden beschuldigten Person verwertet werden darf, bleibt auch nach einer Wiederholung der Einvernahme unter Wahrung des Teilnahmerechts unverwertbar im Sinne von Art. 147 Abs. 4 StPO . Eine spätere Einräumung des Teilnahmerechts führt nicht zur Verwertbarkeit von nach Art. 147 Abs. 4 StPO unverwertbaren Einvernahmen ( BGE 150 IV 345 E. 1.6 mit zahlreichen Hinweisen).</w:t>
      </w:r>
    </w:p>
    <w:p>
      <w:r>
        <w:rPr>
          <w:b/>
        </w:rPr>
        <w:t>E. 2.2</w:t>
      </w:r>
    </w:p>
    <w:p>
      <w:r>
        <w:t>Die Vorinstanz hält fest, der Privatkläger C.C.________ sei am 15. Dezember 2021 erstmals befragt worden. Entgegen den Ausführungen der Verteidigung gehe aus den Akten hervor, dass die Strafuntersuchung vor dieser polizeilichen Einvernahme des Privatklägers C.C.________ weder formell noch materiell eröffnet worden sei. Das Verfahren habe sich damals noch ganz am Anfang befunden. Primär sei es darum gegangen, den Hinweisen nachzugehen, welche die Privatklägerin D.C.________ bei ihrer polizeilichen Einvernahme vom 19. Oktober 2021 geäussert habe. Gemäss damaligem Erkenntnisstand seien die Sachverhaltsangaben noch derart rudimentär gewesen, dass nicht einmal festgestanden sei, welche Personen konkret beschuldigt werden. Deshalb sei auch keine notwendige Verteidigung bestellt worden.</w:t>
      </w:r>
    </w:p>
    <w:p>
      <w:r>
        <w:rPr>
          <w:b/>
        </w:rPr>
        <w:t>E. 2.3</w:t>
      </w:r>
    </w:p>
    <w:p>
      <w:r>
        <w:t>Was der Beschwerdeführer dagegen vorbringt, dringt nicht durch.</w:t>
      </w:r>
    </w:p>
    <w:p>
      <w:r>
        <w:rPr>
          <w:b/>
        </w:rPr>
        <w:t>E. 2.3.1</w:t>
      </w:r>
    </w:p>
    <w:p>
      <w:r>
        <w:t>Auf die Ausführungen des Beschwerdeführers ist nicht einzugehen, soweit er geltend macht, die polizeilichen Befragungen von G.________ und B.A.________ vom 21. März 2023 seien nicht verwertbar. Denn bereits die Vorinstanz hält fest, diese Einvernahmen seien unverwertbar, da keine Konfrontation mit dem Beschwerdeführer stattgefunden habe. Gleiches gilt, wenn der Beschwerdeführer vorbringt, die polizeilichen Einvernahmen von F.________ vom 4. April 2023 und E.________ vom 21. März 2023 seien nicht verwertbar. Die Vorinstanz erwägt, dass sich darin keine Aussagen befinden, welche den Beschwerdeführer belasten. Zudem hätten F.________ und E.________ bei der staatsanwaltschaftlichen Konfrontationseinvernahme vom 18. Januar 2024 keine Angaben zur Sache gemacht.</w:t>
      </w:r>
    </w:p>
    <w:p>
      <w:r>
        <w:rPr>
          <w:b/>
        </w:rPr>
        <w:t>E. 2.3.2</w:t>
      </w:r>
    </w:p>
    <w:p>
      <w:r>
        <w:t>Die Vorinstanz legt überzeugend dar, dass die Polizei die erste Befragung des Privatklägers C.C.________ vom 15. Dezember 2021 zu Recht im Rahmen des selbstständigen Ermittlungsverfahrens durchführte und ihn als polizeiliche Auskunftsperson im Sinne von Art. 179 StPO einvernahm. Folgerichtig hält sie fest, dass zu jenem Zeitpunkt kein Teilnahmerecht des Beschwerdeführers bestand. Dies gilt auch für die erste Befragung der Privatklägerin vom 19. Oktober 2021. Zudem legt die Vorinstanz dar, dass der Konfrontationsanspruch des Beschwerdeführers gewahrt wurde, indem die Staatsanwaltschaft den Privatkläger und die Privatklägerin am 28. November 2023 befragte. Das dagegen gerichtete Vorbringen des Beschwerdeführers erschöpft sich in einer unzulässigen appellatorischen Kritik am angefochtenen Urteil. Er behauptet, er habe bereits zu einem frühen Zeitpunkt als möglicher Täter identifiziert werden können. Zu diesem Zweck präsentiert er seine eigene Würdigung des Polizeirapports und der Erstaussagen der Privatklägerin. Allerdings setzt er sich nicht mit der vorinstanzlichen Erwägung auseinander, wonach im Polizeirapport keine konkreten beschuldigten Personen aufgeführt sind. Ebenso wenig geht er auf die schlüssige vorinstanzliche Begründung ein, dass gemäss Polizeirapport weitere polizeiliche Ermittlungshandlungen im Umfeld der Justizvollzugsanstalt Pöschwies geplant gewesen seien. Zudem übergeht er die vorinstanzliche Erwägung, dass die Staatsanwaltschaft zu jenem Zeitpunkt weder Zwangsmassnahmen angeordnet noch Delegationsverfügungen erlassen habe. Die Vorinstanz verfällt nicht in Willkür und verletzt auch sonst kein Bundesrecht, indem sie zum Schluss gelangt, dies alles spreche gegen eine Eröffnung der Untersuchung.</w:t>
      </w:r>
    </w:p>
    <w:p>
      <w:r>
        <w:rPr>
          <w:b/>
        </w:rPr>
        <w:t>E. 2.3.3</w:t>
      </w:r>
    </w:p>
    <w:p>
      <w:r>
        <w:t>Nach dem Gesagten sind die polizeilichen Einvernahmen des Privatklägers und der Privatklägerin uneingeschränkt verwertbar. Damit braucht nicht auf die Rüge eingegangen zu werden, wonach die Konfrontationseinvernahmen des Privatklägers und der Privatklägerin unverwertbar seien, weil dabei Bezug auf die polizeilichen Einvernahmen genommen wurde.</w:t>
      </w:r>
    </w:p>
    <w:p>
      <w:r>
        <w:rPr>
          <w:b/>
        </w:rPr>
        <w:t>E. 2.4</w:t>
      </w:r>
    </w:p>
    <w:p>
      <w:r>
        <w:t>Weitere Rügen gegen die vorinstanzliche Sachverhaltsfeststellung bringt der Beschwerdeführer nicht vor. Auch die rechtliche Qualifikation seines Verhaltens beanstandet er nicht, zumal ihn die Vorinstanz nur wegen mehrfacher versuchter Erpressung gemäss Art. 156 Ziff. 1 StGB verurteilt hat und nicht wie die Erstinstanz wegen mehrfacher versuchter räuberischer Erpressung im Sinne von Art. 156 Ziff. 1 und Ziff. 3 in Verbindung mit Art. 140 Ziff. 1 StGB . Auch die Strafzumessung lässt der Beschwerdeführer zu Recht unangefochten. Gleiches gilt für die Beurteilung der Zivilansprüche. Damit hat es sein Bewenden.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