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230/2008 vom 13. Mai 2008</w:t>
      </w:r>
    </w:p>
    <w:p>
      <w:r>
        <w:t>Bundesgericht, 2008-05-13, FR</w:t>
      </w:r>
    </w:p>
    <w:p>
      <w:r>
        <w:rPr>
          <w:b/>
        </w:rPr>
        <w:t xml:space="preserve">Quelle: </w:t>
      </w:r>
      <w:r>
        <w:t>https://mcp.opencaselaw.ch/entscheid/bger_6B_230_2008</w:t>
      </w:r>
    </w:p>
    <w:p>
      <w:r>
        <w:t>FR: TF 6B 230/2008 du 13 mai 2008</w:t>
      </w:r>
    </w:p>
    <w:p>
      <w:r>
        <w:t>IT: TF 6B 230/2008 del 13 maggio 2008</w:t>
      </w:r>
    </w:p>
    <w:p>
      <w:pPr>
        <w:pStyle w:val="Heading2"/>
      </w:pPr>
      <w:r>
        <w:t>Regeste</w:t>
      </w:r>
    </w:p>
    <w:p>
      <w:r>
        <w:t>Fixation de la peine (brigandage, etc.) | Droit pénal (en général)</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invoque une violation du principe "in dubio pro reo", au motif qu'une appréciation exempte d'arbitraire des éléments de preuve laisserait subsister un doute sérieux quant à sa participation au brigandage commis au préjudice de A.________ SA.</w:t>
      </w:r>
    </w:p>
    <w:p>
      <w:r>
        <w:rPr>
          <w:b/>
        </w:rPr>
        <w:t>E. 2.1</w:t>
      </w:r>
    </w:p>
    <w:p>
      <w:r>
        <w:t>Tel qu'il est invoqué, soit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37/38). La notion d'arbitraire a été rappelée récemment dans l' ATF 133 I 149 consid. 3.1 p. 153,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2.2</w:t>
      </w:r>
    </w:p>
    <w:p>
      <w:r>
        <w:t>La participation du recourant au brigandage litigieux a été retenue sur la base d'un faisceau d'indices convergents, à savoir: la présence, sur la casquette et les gants utilisés lors du brigandage, de traces d'ADN du recourant en sus de celles d'un tiers non identifié; le fait que ce cambriolage a été perpétré selon un modus operandi similaire à celui du cambriolage commis le 15 janvier 2006 à Morges; le fait que, selon les explications de B.________, l'un de ses agresseurs s'exprimait, à l'instar du recourant, avec un léger accent balkanique et était d'une taille correspondant, à deux ou trois centimètres près, à celle du recourant. Il a été considéré que la coïncidence de ces divers éléments ne laissait pas place à un doute sérieux et insurmontable quant au fait que le recourant était bien l'un des auteurs du cambriolage litigieux.</w:t>
      </w:r>
    </w:p>
    <w:p>
      <w:r>
        <w:rPr>
          <w:b/>
        </w:rPr>
        <w:t>E. 2.3</w:t>
      </w:r>
    </w:p>
    <w:p>
      <w:r>
        <w:t>Cette appréciation n'est pas arbitraire. De la présence de traces d'ADN du recourant sur une casquette et des gants utilisés lors du brigandage litigieux, il n'était pas manifestement insoutenable de déduire qu'il est l'une des deux personnes ayant commis ce brigandage et, subséquemment, qu'il y a participé. Le recourant l'admet d'ailleurs lui-même expressément à la page 7 let. b de son recours, de sorte que l'on comprend mal qu'il entreprenne ensuite de le contester. Quoiqu'il en soit, les arguments qu'il avance sont manifestement impropres à faire admettre le contraire. Il est évident que la casquette et les gants sur lesquels des traces d'ADN du recourant ont été retrouvées n'ont pas été portés simultanément, comme il le fait valoir, par lui et son comparse. Il est toutefois non moins évident que cela n'infirme en rien sa participation au brigandage litigieux. Il en va de même du fait que les traces retrouvées dans une tache de sang relevée sur l'un des murs des locaux ne proviendrait pas du recourant, ainsi qu'il l'affirme, au demeurant, sur la base d'une rediscution purement appellatoire du rapport d'analyse des traces d'ADN établi le 30 août 2004 par l'IUML. Force est donc de constater que l'argumentation présentée n'est aucunement à même de faire admettre une appréciation arbitraire de l'élément de preuve considéré. Au demeurant, lorsque l'autorité cantonale a forgé sa conviction sur la base d'un faisceau d'indices concordants, il ne suffit pas que l'un ou l'autre de ceux-ci ou même chacun d'eux pris isolément soit à lui seul insuffisant; le cas échéant, l'appréciation des preuves doit être examinée dans son ensemble et il n'y a pas arbitraire si l'état de fait retenu pouvait être déduit de manière soutenable du rapprochement de divers éléments ou indices. Or, à la présence de traces d'ADN du recourant sur la casquette et les gants, viennent s'ajouter la similitude du mode opératoire utilisé lors des deux brigandages qui lui sont reprochés et le fait que certains éléments du signalement que la victime a pu donner de l'un de ses agresseurs se retrouvent chez le recourant. De ces divers éléments convergents, il n'était pas arbitraire, au sens rappelé ci-dessus (cf. supra, consid. 2.1), de déduire que le recourant est bien l'un des auteurs du brigandage litigieux. Que, dans le cas du brigandage commis le 15 janvier 2006 à Morges, les auteurs n'aient pas eu besoin de recourir au même degré de violence et qu'ils aient à cette occasion porté des cagoules "artisanales", et non des cagoules en cuir, est manifestement insuffisant à faire admettre le contraire. Il est par ailleurs évident que la prétendue méconnaissance du recourant des lieux où a été commis le brigandage litigieux ne saurait être déduite du seul fait qu'il n'a jamais travaillé pour A.________ SA. C'est ainsi sans arbitraire, du moins qui soit démontré conformément aux exigences de motivation de l' art. 106 al. 2 LTF , que l'autorité cantonale a retenu que le recourant a participé au brigandage litigieux. Au reste, fondée sur ce constat, elle pouvait, sans violer le principe "in dubio pro reo", considérer qu'il ne subsistait pas de doute sérieux et irréductible quant à la culpabilité du recourant. Le grief doit dès lors être rejeté dans la mesure où il est recevable.</w:t>
      </w:r>
    </w:p>
    <w:p>
      <w:r>
        <w:rPr>
          <w:b/>
        </w:rPr>
        <w:t>E. 3</w:t>
      </w:r>
    </w:p>
    <w:p>
      <w:r>
        <w:t>Le recourant se plaint d'une violation de l' art. 47 CP . Il ne conteste pas que la peine a été fixée sur la base de critères pertinents, mais reproche exclusivement à l'autorité cantonale de ne l'avoir pas suffisamment réduite à raison de la suppression de l'infraction de lésions corporelles simples.</w:t>
      </w:r>
    </w:p>
    <w:p>
      <w:r>
        <w:rPr>
          <w:b/>
        </w:rPr>
        <w:t>E. 3.1</w:t>
      </w:r>
    </w:p>
    <w:p>
      <w:r>
        <w:t>Constatant que les brutalités commises sur B.________ avaient excédé ce qui était nécessaire à la commission du brigandage, l'autorité cantonale a considéré que les lésions corporelles simples devaient être retenues en concours avec le brigandage. Elle a néanmoins acquitté le recourant de l'infraction de lésions corporelles simples, au motif qu'il n'était pas établi que celui-ci avait lui-même frappé la victime, ni qu'il avait participé comme coauteur ou même comme simple complice à cet acte. Ainsi, ce n'est en définitive que d'un acte supplémentaire de violence dont a été libéré le recourant, soit celui ayant consisté à rouer de coups la victime pendant qu'elle était contrainte de guider ses agresseurs dans d'autres locaux. Sa culpabilité ne s'en trouve donc pas considérablement diminuée. Cela d'autant moins au vu de la gravité et de la pluralité des infractions maintenues. Le brigandage qualifié au sens de l' art. 140 ch. 2 CP , qui est passible d'une peine privative de liberté allant de 1 an au minimum à 10 ans au maximum, constitue en effet une infraction nettement plus grave que les lésions corporelles simples, qui sont punissables d'une peine pécuniaire ou de 3 ans de privation de liberté au maximum. De plus, le recourant doit répondre de deux cas de brigandage qualifié et, en sus, d'autres infractions, notamment de faux dans les certificats. Dans ces conditions, l'autorité cantonale, qui n'était pas tenu de procéder à une réduction linéaire (cf. ATF 129 IV 22 consid. 6.2 p. 35), était fondée à admettre que la suppression de l'infraction de lésions corporelles simples n'appelait qu'une faible diminution de la peine. Au reste, la réduction de 4 mois qu'elle a opérée n'est pas à ce point insuffisante qu'elle doive se voir reprocher un abus de son pouvoir d'appréciation. La peine de 56 mois de privation de liberté qu'elle a prononcée - et c'est ce qui est en fin de compte déterminant - demeure proportionnée à la culpabilité du recourant. Le grief est par conséquent infondé.</w:t>
      </w:r>
    </w:p>
    <w:p>
      <w:r>
        <w:rPr>
          <w:b/>
        </w:rPr>
        <w:t>E. 4</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