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6B_22/2012 vom 25. Mai 2012</w:t>
      </w:r>
    </w:p>
    <w:p>
      <w:r>
        <w:t>Bundesgericht, 2012-05-25, FR</w:t>
      </w:r>
    </w:p>
    <w:p>
      <w:r>
        <w:rPr>
          <w:b/>
        </w:rPr>
        <w:t xml:space="preserve">Quelle: </w:t>
      </w:r>
      <w:r>
        <w:t>https://mcp.opencaselaw.ch/entscheid/bger_6B_22_2012</w:t>
      </w:r>
    </w:p>
    <w:p>
      <w:r>
        <w:t>FR: TF 6B_22/2012 du 25 mai 2012</w:t>
      </w:r>
    </w:p>
    <w:p>
      <w:r>
        <w:t>IT: TF 6B_22/2012 del 25 maggio 2012</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 Il convient donc d'examiner l'ensemble des griefs soulevés par le recourant dans la procédure du recours en matière pénale.</w:t>
      </w:r>
    </w:p>
    <w:p>
      <w:r>
        <w:rPr>
          <w:b/>
        </w:rPr>
        <w:t>E. 2</w:t>
      </w:r>
    </w:p>
    <w:p>
      <w:r>
        <w:t>Le recourant dénonce une violation de l' art. 389 al. 2 CPP . Il reproche à la cour cantonale d'avoir refusé de réentendre les témoins, dont les dépositions n'avaient pas été verbalisées en première instance, comme le permettait l'ancien code de procédure pénale vaudois alors applicable. Se référant à l' art. 343 al. 3 CPP relatif aux débats de première instance, il soutient que la cour cantonale est tenue de répéter l'administration des preuves lorsque la preuve a été correctement administrée et qu'il s'agit de garantir la connaissance directe du moyen de preuve nécessaire au prononcé du jugement.</w:t>
      </w:r>
    </w:p>
    <w:p>
      <w:r>
        <w:rPr>
          <w:b/>
        </w:rPr>
        <w:t>E. 2.1</w:t>
      </w:r>
    </w:p>
    <w:p>
      <w:r>
        <w:t>Selon l' art. 389 al. 1 CPP , la procédure de recours se fonde sur les preuves administrées pendant la procédure préliminaire et la procédure de première instance.</w:t>
      </w:r>
    </w:p>
    <w:p>
      <w:r>
        <w:t>L' art. 389 al. 2 CPP prévoit que l'administration des preuves du tribunal de première instance est répétée dans trois hypothèses, à savoir lorsque les dispositions en matière de preuves ont été enfreintes, lorsque l'administration des preuves est incomplète ou lorsque les pièces relatives à l'administration des preuves ne semblent pas fiables.</w:t>
      </w:r>
    </w:p>
    <w:p>
      <w:r>
        <w:t>L' art. 389 al. 3 CPP règle les preuves complémentaires. Ainsi, la juridiction de recours peut administrer, d'office ou à la demande d'une partie, les preuves complémentaires nécessaires au traitement du recours.</w:t>
      </w:r>
    </w:p>
    <w:p>
      <w:r>
        <w:t>L' art. 389 CPP figure au Titre 9 intitulé "voie de recours". Il s'agit donc d'une disposition générale qui vaut pour l'autorité d'appel, le terme "recours" employé dans cette disposition étant générique.</w:t>
      </w:r>
    </w:p>
    <w:p>
      <w:r>
        <w:rPr>
          <w:b/>
        </w:rPr>
        <w:t>E. 2.2.1</w:t>
      </w:r>
    </w:p>
    <w:p>
      <w:r>
        <w:t>Le recourant ne peut critiquer les constatations de fait que si les faits ont été établis de façon manifestement inexacte ou en violation du droit au sens de l' art. 95 LTF , et si la correction du vice est susceptible d'influer sur le sort de la cause ( art. 97 al. 1 LTF ). Dans le cas particulier, le recourant soutient que les preuves ont été administrées en violation des règles fédérales sur les preuves, en particulier de l' art. 389 al. 2 CPP .</w:t>
      </w:r>
    </w:p>
    <w:p>
      <w:r>
        <w:t>Dans l'hypothèse d'une violation du droit fédéral, la critique doit être formulée en respectant les exigences de l' art. 42 LTF . Selon cette disposition, les mémoires doivent être rédigés dans une langue officielle, indiquer les conclusions, les motifs et les moyens de preuve, et être signés. Les motifs doivent exposer succinctement en quoi l'acte attaqué viole le droit. Pour satisfaire à cette obligation de motiver, le recourant doit discuter les motifs de la décision entreprise et indiquer précisément en quoi il estime que l'autorité précédente a méconnu le droit ; il n'est pas indispensable qu'il indique expressément les dispositions légales - le numéro des articles de loi - ou qu'il désigne expressément les principes non écrits de droit qui auraient été violés (arrêt du 7 avril 2008 du Tribunal fédéral 2C_612/2007, consid. 2.1). De surcroît, il doit démontrer que la violation qu'il invoque est susceptible d'avoir une influence sur le sort de la cause (art. 97 al. 1 in fine LTF).</w:t>
      </w:r>
    </w:p>
    <w:p>
      <w:r>
        <w:rPr>
          <w:b/>
        </w:rPr>
        <w:t>E. 2.2.2</w:t>
      </w:r>
    </w:p>
    <w:p>
      <w:r>
        <w:t>En l'espèce, ces exigences de motivation ne sont pas respectées. Le recourant sollicite la réaudition de cinq témoins afin que la cour cantonale ait une connaissance directe de ces dépositions, mais ne précise pas les faits (ou à tout le moins les escroqueries) sur lesquel(le)s les témoins devraient être réentendus et n'établit donc pas que le moyen de preuves dont il demande une nouvelle administration est propre à influer sur l'issue du procès ( art. 97 al. 1 LTF ). Son argumentation ne satisfait dès lors pas les exigences de motivation posées à l' art. 42 al. 1 LTF . Le grief soulevé est irrecevable.</w:t>
      </w:r>
    </w:p>
    <w:p>
      <w:r>
        <w:rPr>
          <w:b/>
        </w:rPr>
        <w:t>E. 3</w:t>
      </w:r>
    </w:p>
    <w:p>
      <w:r>
        <w:t>Invoquant son droit d'être entendu ( art. 3 al. 2 let . c CPP) et l' art. 389 al. 3 CPP , le recourant reproche à la cour cantonale de ne pas avoir organisé une confrontation entre lui et son co-accusé.</w:t>
      </w:r>
    </w:p>
    <w:p>
      <w:r>
        <w:rPr>
          <w:b/>
        </w:rPr>
        <w:t>E. 3.1</w:t>
      </w:r>
    </w:p>
    <w:p>
      <w:r>
        <w:t>Aux termes de l'art. 6 § 3 let . d CEDH, tout accusé a le droit d'interroger ou de faire interroger les témoins à charge et d'obtenir la citation et l'interrogatoire des témoins à décharge dans les mêmes conditions que les témoins à charge. Ce droit découle aussi de l' art. 29 Cst. (cf. pour la jurisprudence relative à l' art. 4 aCst. , ATF 125 I 127 consid. 6b p. 132/133; 124 I 274 consid. 5b p. 284). Il est également garanti par l' art. 32 al. 2 Cst. ( ATF 129 I 151 consid. 3.1. p. 154). On entend par témoins à charge tous les auteurs de déclarations susceptibles d'être prises en considération au détriment de l'accusé, quelle que soit la qualité de ces personnes dans le procès; il s'agit donc aussi des plaignants ou autres parties à la cause ( ATF 125 I 127 consid. 6a in fine p. 132).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 ATF 125 I 127 consid. 6b p. 132; voir aussi ATF 129 I 151 consid. 4.2 p. 157; 124 I 274 consid. 5b p. 284).</w:t>
      </w:r>
    </w:p>
    <w:p>
      <w:r>
        <w:t>Le droit du prévenu de faire poser des questions à un témoin à charge est absolu lorsque la déposition de cette personne constitue une preuve décisive ( ATF 129 I 151 consid. 3.1 in fine p. 154; 125 I 127 consid. 6c/dd p. 135).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 la déposition soit soumise à un examen attentif, que l'accusé puisse prendre position à son sujet et que le verdict de culpabilité ne soit pas fondé sur cette seule preuve ( ATF 124 I 274 consid. 5b p. 285/286 ; CourEDH, arrêt Artner c. Autriche du 28.8.1992, série A n° 242, § 21).</w:t>
      </w:r>
    </w:p>
    <w:p>
      <w:r>
        <w:rPr>
          <w:b/>
        </w:rPr>
        <w:t>E. 3.2</w:t>
      </w:r>
    </w:p>
    <w:p>
      <w:r>
        <w:t>L' art. 147 al. 1 CPP consacre le droit de poser des questions lors d'une audition. L'alinéa 3 de cette disposition prévoit qu'une partie ou son conseil juridique a le droit de demander la répétition de tout acte d'instruction effectué lorsque, pour des motifs impérieux, le conseil juridique ou la partie non représentée n'a pas pu y prendre part. Il peut être renoncé à cette répétition lorsqu'elle entraînerait des frais et des démarches disproportionnés et que le droit des parties d'être entendues, en particulier celui de poser des questions aux comparants, peut être satisfait d'une autre manière (cf. OLIVIER THORMANN, Code de procédure pénale suisse, Commentaire romand, 2011, n. 12 ss CPP). Ainsi, il sera renoncé à la répétition en cas de décès du comparant, de son expulsion du territoire ou de l'impossibilité de le retrouver malgré des recherches (OLIVIER THORMANN, op. cit. n. 18 ad art. 147 CPP ) ; dans ce cas, la première audition pourra être utilisée à condition que le prévenu ait eu la possibilité d'en prendre connaissance et de se déterminer, que l'audition fasse l'objet d'une appréciation prudente et qu'elle ne serve pas de preuve déterminante (OLIVIER THORMANN, op. cit., n. 30 et 31 ad art. 147 CPP ) .</w:t>
      </w:r>
    </w:p>
    <w:p>
      <w:r>
        <w:rPr>
          <w:b/>
        </w:rPr>
        <w:t>E. 3.3</w:t>
      </w:r>
    </w:p>
    <w:p>
      <w:r>
        <w:t>En l'espèce, le co-accusé est resté introuvable malgré les recherches policières et la cour cantonale s'est trouvée dans l'impossibilité d'organiser une confrontation. Elle a procédé à un examen attentif de la déposition de Y.________ et n'a pas fondé son verdict de culpabilité sur les seules déclarations de ce dernier. C'est ainsi qu'elle s'est référée aux déclarations des parties civiles et à des documents pour corroborer la version présentée par Y.________. Le recourant ne prétend pas n'avoir pas pu prendre connaissance de la déposition de son coaccusé ni ne démontre que l'appréciation des preuves de la cour cantonale serait arbitraire. On ne saurait donc reprocher à la cour cantonale d'avoir tenu compte de la déposition de Y.________. Dans la mesure où il est suffisamment motivé et, donc, recevable, le grief soulevé doit être rejeté.</w:t>
      </w:r>
    </w:p>
    <w:p>
      <w:r>
        <w:rPr>
          <w:b/>
        </w:rPr>
        <w:t>E. 4</w:t>
      </w:r>
    </w:p>
    <w:p>
      <w:r>
        <w:t>Le recourant critique la peine qui lui a été infligée.</w:t>
      </w:r>
    </w:p>
    <w:p>
      <w:r>
        <w:rPr>
          <w:b/>
        </w:rPr>
        <w:t>E. 4.1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4.2.1</w:t>
      </w:r>
    </w:p>
    <w:p>
      <w:r>
        <w:t>Le recourant soutient que la cour cantonale n'aurait pas suffisamment motivé la peine prononcée. En particulier, elle n'aurait pas indiqué la réduction de peine résultant de l'écoulement du temps depuis les faits jugés et du comportement pénalement irréprochable du recourant depuis 2004. Selon la jurisprudence, la motivation doit justifier la peine prononcée, en permettant de suivre le raisonnement adopté, mais le juge n'est nullement tenu d'exprimer en chiffres ou en pourcentage l'importance qu'il accorde à chacun des éléments qu'il cite ( ATF 127 IV 101 consid. 2c p. 105). En conséquence, la cour cantonale n'a pas violé le droit fédéral, en ne mentionnant pas l'ampleur de la diminution de la peine résultant de l'écoulement du temps et du comportement irréprochable du recourant. Le grief du recourant doit être rejeté.</w:t>
      </w:r>
    </w:p>
    <w:p>
      <w:r>
        <w:rPr>
          <w:b/>
        </w:rPr>
        <w:t>E. 4.2.2</w:t>
      </w:r>
    </w:p>
    <w:p>
      <w:r>
        <w:t>Le recourant reproche à la cour cantonale de ne pas avoir tenu compte de l'effet de la peine prononcée sur son avenir notamment professionnel. La cour cantonale a mentionné que le recourant avait retrouvé du travail depuis sa libération, de sorte que l'on ne saurait lui reprocher d'avoir omis cet élément. Mal fondé, le grief soulevé doit être rejeté.</w:t>
      </w:r>
    </w:p>
    <w:p>
      <w:r>
        <w:rPr>
          <w:b/>
        </w:rPr>
        <w:t>E. 4.2.3</w:t>
      </w:r>
    </w:p>
    <w:p>
      <w:r>
        <w:t>Enfin, le recourant fait grief à la cour cantonale de lui avoir infligé une peine identique à celle de son coaccusé, alors qu'il n'a jamais fait défaut et a toujours assumé ce qui lui était reproché. Il est certes admis qu'une certaine égalité - dans le sens d'une certaine proportion - doit être garantie entre les coaccusés dans le cadre d'une même affaire ( ATF 135 IV 191 consid. 3.2 p. 193 ; 121 IV 202 ). L'arrêt attaqué ne décrit toutefois pas les faits pour lesquels le coaccusé a été condamné ni ne mentionne les éléments qui sont intervenus dans la fixation de sa peine, de sorte que la cour de céans, qui statue sur la base des faits établis par l'autorité précédente ( art. 105 al. 1 LTF ), ne peut procéder à une comparaison des peines des deux coaccusés. Le grief soulevé est infondé.</w:t>
      </w:r>
    </w:p>
    <w:p>
      <w:r>
        <w:rPr>
          <w:b/>
        </w:rPr>
        <w:t>E. 4.3</w:t>
      </w:r>
    </w:p>
    <w:p>
      <w:r>
        <w:t>En définitive, la cour cantonale n'a pas omis d'élément important lors de la fixation de la peine et a correctement motivé celle-ci. Il convient encore d'examiner si, au vu des circonstances, la peine infligée apparaît sévère au point de constituer un abus du pouvoir d'appréciation.</w:t>
      </w:r>
    </w:p>
    <w:p>
      <w:r>
        <w:t>En l'espèce, le recourant a extorqué pendant plus de dix ans des montants considérables (1'344'000 fr.) aux victimes sans jamais se préoccuper de les rembourser, et s'est enferré dans une défense de déni révélant l'absence de tout remords et l'indifférence face aux victimes de la cause. A sa décharge, on peut tenir compte de l'éloignement dans le temps des infractions commises. Sur le plan personnel, on peut mentionner que le recourant a retrouvé une activité lucrative et qu'il n'a plus connu d'ennuis pénaux depuis 2004. Au vu de l'ensemble de ces circonstances, la peine privative de liberté de trois ans et demi n'est pas sévère, de sorte qu'il faille conclure à un abus du large pouvoir d'appréciation accordé à la cour cantonale.</w:t>
      </w:r>
    </w:p>
    <w:p>
      <w:r>
        <w:rPr>
          <w:b/>
        </w:rPr>
        <w:t>E. 5</w:t>
      </w:r>
    </w:p>
    <w:p>
      <w:r>
        <w:t>Le recours doit ainsi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