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6B_22/2011 vom 23. Mai 2011</w:t>
      </w:r>
    </w:p>
    <w:p>
      <w:r>
        <w:t>Bundesgericht, 2011-05-23, FR</w:t>
      </w:r>
    </w:p>
    <w:p>
      <w:r>
        <w:rPr>
          <w:b/>
        </w:rPr>
        <w:t xml:space="preserve">Quelle: </w:t>
      </w:r>
      <w:r>
        <w:t>https://mcp.opencaselaw.ch/entscheid/bger_6B_22_2011</w:t>
      </w:r>
    </w:p>
    <w:p>
      <w:r>
        <w:t>FR: TF 6B_22/2011 du 23 mai 2011</w:t>
      </w:r>
    </w:p>
    <w:p>
      <w:r>
        <w:t>IT: TF 6B_22/2011 del 23 maggio 2011</w:t>
      </w:r>
    </w:p>
    <w:p>
      <w:pPr>
        <w:pStyle w:val="Heading2"/>
      </w:pPr>
      <w:r>
        <w:t>Erwägungen</w:t>
      </w:r>
    </w:p>
    <w:p>
      <w:r>
        <w:rPr>
          <w:b/>
        </w:rPr>
        <w:t>E. 1</w:t>
      </w:r>
    </w:p>
    <w:p>
      <w:r>
        <w:t>Le recourant, qui a réclamé son acquittement du chef d'infraction à l' art. 146 CP devant la Chambre pénale, conclut en instance fédérale à sa condamnation en vertu de l' art. 55 LASI . Cette conclusion est irrecevable puisque nouvelle ( art. 99 al. 2 LTF ). Le recourant a toutefois également conclu, à titre subsidiaire, au renvoi de la cause à l'autorité cantonale pour nouvelle décision, soit, implicitement, à la réforme de l'arrêt attaqué dans le sens de son acquittement, ainsi que cela ressort de son argumentation.</w:t>
      </w:r>
    </w:p>
    <w:p>
      <w:r>
        <w:rPr>
          <w:b/>
        </w:rPr>
        <w:t>E. 2</w:t>
      </w:r>
    </w:p>
    <w:p>
      <w:r>
        <w:t>Le recourant admet avoir trompé l'Hospice général quant à sa situation financière en ne déclarant pas disposer d'un emploi lui procurant des revenus réguliers ainsi que d'une fortune. Il fait cependant valoir à l'appui de son recours que l'Hospice général n'a pas procédé aux vérifications élémentaires qui lui incombaient, conformément à ce que prévoit la loi cantonale sur l'aide sociale individuelle. Il n'avait produit aucun faux document, ni recouru à une mise en scène telle que sa tromperie puisse être qualifiée d'astucieuse au sens de l' art. 146 CP .</w:t>
      </w:r>
    </w:p>
    <w:p>
      <w:r>
        <w:rPr>
          <w:b/>
        </w:rPr>
        <w:t>E. 2.1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w:t>
      </w:r>
    </w:p>
    <w:p>
      <w:r>
        <w:rPr>
          <w:b/>
        </w:rPr>
        <w:t>E. 2.1.1</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rPr>
          <w:b/>
        </w:rPr>
        <w:t>E. 2.1.2</w:t>
      </w:r>
    </w:p>
    <w:p>
      <w:r>
        <w:t>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6B_576/2010 du 25 janvier 2011 consid. 4.1.2; 6B_689/2010 et 6B_690/2010 du 25 octobre 2010 consid. 4.3.4; cf. également arrêts 6B_409/2007 du 9 octobre 2007 consid. 2.2 et 6B_558/2009 du 26 octobre 2009 consid. 1.2).</w:t>
      </w:r>
    </w:p>
    <w:p>
      <w:r>
        <w:rPr>
          <w:b/>
        </w:rPr>
        <w:t>E. 2.2</w:t>
      </w:r>
    </w:p>
    <w:p>
      <w:r>
        <w:t>Le recourant a fourni à l'appui de sa demande d'aide sociale des documents émanant d'autorités administratives attestant du fait qu'il ne percevrait plus d'indemnités de l'assurance chômage dès le 19 septembre 2001. Compte tenu de leur nature, de tels documents jouissaient d'une force probante suffisante pour permettre à l'Hospice général de retenir, sans qu'il doive procéder à des vérifications supplémentaires, que le recourant était sans emploi et que les prestations qu'il percevait ne lui seraient plus servies après la date indiquée.</w:t>
      </w:r>
    </w:p>
    <w:p>
      <w:r>
        <w:t>Le recourant a, par la suite, régulièrement fourni la liste de ses recherches d'emploi et a renouvelé chaque année sa demande de prestations, comportant son engagement à fournir tous les renseignements utiles concernant sa situation personnelle et financière ainsi que toute modification de celle-ci. Cet engagement n'est pas simplement moral, mais concrétise une obligation légale (cf. art. 11 al. 1 de la loi du 18 novembre 1994 sur les prestations cantonales accordées aux chômeurs en fin de droit [LRMCAS; RS/GE J 2 25]). A nouveau, l'autorité n'avait pas de motif de douter de la véracité des indications qui lui étaient fournies par le recourant. Elle n'avait en particulier pas à s'étonner spécialement du fait que celui-ci reste sans emploi dans la mesure où une telle situation n'est pas exceptionnelle, et pouvait s'expliquer en l'espèce notamment par l'âge de l'intéressé qui ne rend pas aisée sa réinsertion. En l'absence d'indice lui permettant de suspecter une modification du droit du recourant à bénéficier des prestations servies, elle n'avait dès lors pas à procéder à des vérifications particulières. L'Hospice général a en revanche requis des explications lorsqu'il a constaté, à la lecture de l'avis de taxation 2006 du recourant, la mention d'un montant de 93'060 francs à titre de fortune. Sa réaction démontre qu'il examinait les pièces qui lui étaient remises avec une attention suffisante.</w:t>
      </w:r>
    </w:p>
    <w:p>
      <w:r>
        <w:t>Il ressort en outre des constatations cantonales que les pièces produites, ou celles sur lesquelles une vérification simple aurait pu porter, ne reflétaient pas la véritable situation financière du recourant et que leur examen n'aurait pas permis de déjouer la tromperie. Celle-ci n'a en effet pu être découverte qu'au terme d'une enquête ayant nécessité d'interroger l'employeur du recourant, connu au travers de l'étude de son compte AVS, divers établissements bancaires - alors que le recourant avait uniquement déclaré être titulaire d'un compte postal - et le service des automobiles et de la navigation. Il s'agit toutefois là de moyens qui vont au-delà de ce qui peut être exigé de l'autorité lors du traitement d'une demande ordinaire.</w:t>
      </w:r>
    </w:p>
    <w:p>
      <w:r>
        <w:t>Enfin, l' art. 32 LASI , invoqué par le recourant, dispose que le demandeur doit autoriser l'Hospice général à prendre des informations à son sujet qui sont nécessaires pour déterminer son droit à des prestations (al. 2) et se soumettre à une enquête de l'Hospice général lorsque celui-ci le demande (al. 3). Il est par ailleurs prévu que les autorités administratives et judiciaires, les employeurs et les organismes s'occupant du bénéficiaire et des membres du groupe familial fournissent gratuitement à l'Hospice général, sur demande écrite et motivée, les renseignements qui lui sont nécessaires pour fixer des prestations et prévenir des versements indus (art. 49 al. 1 let. a et c LASI). Des dispositions similaires figurent dans la loi sur les prestations cantonales accordées aux chômeurs en fin de droit (cf. art. 34 al. 1 LRMCAS). Elles ne font toutefois que prévoir, en faveur de l'autorité, des moyens afin de lui permettre, si nécessaire, de déterminer le droit aux prestations d'un demandeur, mais elles n'imposent à celle-ci aucune obligation à sa charge quant à la manière dont elle doit traiter les demandes qui lui sont soumises. Il ne peut ainsi nullement en être déduit que l'Hospice général aurait fait preuve de négligence du seul fait qu'il n'a pas procédé, compte tenu des éléments en sa possession, à une enquête auprès du recourant ou d'autres autorités.</w:t>
      </w:r>
    </w:p>
    <w:p>
      <w:r>
        <w:t>En définitive, aucun élément dans la situation du recourant ne devait amener l'Hospice général à penser que celui-ci lui cachait des indications pertinentes pour décider de l'octroi de prestations financières et il pouvait dès lors s'abstenir de procéder à des investigations supplémentaires. Le recourant ne pouvait ignorer l'impossibilité pour l'autorité de procéder à des vérifications pour chaque demande qui lui est soumise, et il n'est ainsi pas déterminant qu'il n'ait pas recouru à un édifice de mensonges. L'Hospice général n'ayant pas fait preuve de légèreté, c'est sans violer le droit fédéral que l'autorité cantonale a admis l'existence d'une astuce.</w:t>
      </w:r>
    </w:p>
    <w:p>
      <w:r>
        <w:t>La cour cantonale a par ailleurs admis, à juste titre, que les autres conditions de réalisation de l'infraction à l' art. 146 al. 1 et 2 CP sont réalisées, ce que le recourant ne conteste pas. La décision attaquée ne viole donc pas le droit fédéral.</w:t>
      </w:r>
    </w:p>
    <w:p>
      <w:r>
        <w:rPr>
          <w:b/>
        </w:rPr>
        <w:t>E. 3</w:t>
      </w:r>
    </w:p>
    <w:p>
      <w:r>
        <w:t>Comme ses conclusions étaient manifestement dénuées de chance de succès, le recourant doit être débouté de sa demande d'assistance judiciaire ( art. 64 al. 1 LTF a contrario). Le recourant supportera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