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6B_22/2009 vom 2. Februar 2009</w:t>
      </w:r>
    </w:p>
    <w:p>
      <w:r>
        <w:t>Bundesgericht, 2009-02-02, FR</w:t>
      </w:r>
    </w:p>
    <w:p>
      <w:r>
        <w:rPr>
          <w:b/>
        </w:rPr>
        <w:t xml:space="preserve">Quelle: </w:t>
      </w:r>
      <w:r>
        <w:t>https://mcp.opencaselaw.ch/entscheid/bger_6B_22_2009</w:t>
      </w:r>
    </w:p>
    <w:p>
      <w:r>
        <w:t>FR: TF 6B_22/2009 du 2 février 2009</w:t>
      </w:r>
    </w:p>
    <w:p>
      <w:r>
        <w:t>IT: TF 6B_22/2009 del 2 febbraio 2009</w:t>
      </w:r>
    </w:p>
    <w:p>
      <w:pPr>
        <w:pStyle w:val="Heading2"/>
      </w:pPr>
      <w:r>
        <w:t>Erwägungen</w:t>
      </w:r>
    </w:p>
    <w:p>
      <w:r>
        <w:rPr>
          <w:b/>
        </w:rPr>
        <w:t>E. 1</w:t>
      </w:r>
    </w:p>
    <w:p>
      <w:r>
        <w:t>À moins qu'il ne se plaigne de la violation d'un droit formel, entièrement séparé du fond, que lui accorde le droit cantonal de procédure, ou d'un droit aux poursuites que lui accorderait la CEDH, le lésé n'a pas qualité pour recourir au Tribunal fédéral contre une ordonnance de classement si l'infraction qu'il dénonce ne l'a pas directement atteint dans son intégrité corporelle, sexuelle ou psychique (cf. ATF 133 IV 228 et les références; arrêt 6B_733/2008 du 11 octobre 2008 consid. 1).</w:t>
      </w:r>
    </w:p>
    <w:p>
      <w:r>
        <w:t>En l'espèce, la plainte classée a pour objet des infractions de nature économique. Sous couvert d'une violation du droit à l'obtention d'une décision motivée (mémoire, p. 3), la recourante critique le bien-fondé de l'ordonnance de classement attaquée, non la procédure suivie pour la rendre, puisqu'elle conteste les effets que l'ordonnance attaquée reconnaît à une précédente feuille d'envoi. Pour le surplus, elle invoque l'appréciation arbitraire des preuves et une fausse application du principe d'opportunité. Elle ne soulève ainsi que des moyens de fond, alors qu'elle est sans qualité pour ce faire. Son recours, manifestement irrecevable, doit dès lors être écarté en application de l' art. 108 al. 1 let. a LTF .</w:t>
      </w:r>
    </w:p>
    <w:p>
      <w:r>
        <w:rPr>
          <w:b/>
        </w:rPr>
        <w:t>E. 2</w:t>
      </w:r>
    </w:p>
    <w:p>
      <w:r>
        <w:t>La recourante, qui succombe, doit supporter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