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6B_228/2022 vom 2. März 2022</w:t>
      </w:r>
    </w:p>
    <w:p>
      <w:r>
        <w:t>Bundesgericht, 2022-03-02, FR</w:t>
      </w:r>
    </w:p>
    <w:p>
      <w:r>
        <w:rPr>
          <w:b/>
        </w:rPr>
        <w:t xml:space="preserve">Quelle: </w:t>
      </w:r>
      <w:r>
        <w:t>https://mcp.opencaselaw.ch/entscheid/bger_6B_228_2022</w:t>
      </w:r>
    </w:p>
    <w:p>
      <w:r>
        <w:t>FR: TF 6B_228/2022 du 2 mars 2022</w:t>
      </w:r>
    </w:p>
    <w:p>
      <w:r>
        <w:t>IT: TF 6B_228/2022 del 2 marzo 2022</w:t>
      </w:r>
    </w:p>
    <w:p>
      <w:pPr>
        <w:pStyle w:val="Heading2"/>
      </w:pPr>
      <w:r>
        <w:t>Erwägungen</w:t>
      </w:r>
    </w:p>
    <w:p>
      <w:r>
        <w:rPr>
          <w:b/>
        </w:rPr>
        <w:t>E. 1</w:t>
      </w:r>
    </w:p>
    <w:p>
      <w:r>
        <w:t>Par acte daté du 11 février 2022, A.________ déclare faire " opposition " au jugement du 13 janvier 2022, par lequel la Cour pénale du Tribunal cantonal jurassien a, avec suite de frais et dépens, déclaré l'intéressée coupable de contrainte, l'a condamnée à 5 jours-amende à 20 fr. le jour, avec sursis, ainsi qu'à 20 fr. d'amende (peine de substitution d'un jour de privation de liberté) et lui a fait interdiction, sous commination des peines prévues par l' art. 294 al. 1 CP , de prendre contact directement ou par l'intermédiaire d'un tiers avec B.________, notamment par téléphone, par écrit ou par voie électronique, de la surveiller ou de la fréquenter de toute autre manière, respectivement de s'approcher de son domicile à moins de 100 mètres pendant une durée de deux ans.</w:t>
      </w:r>
    </w:p>
    <w:p>
      <w:r>
        <w:rPr>
          <w:b/>
        </w:rPr>
        <w:t>E. 2</w:t>
      </w:r>
    </w:p>
    <w:p>
      <w:r>
        <w:t>Selon l' art. 42 al. 1 LTF , les mémoires de recours au Tribunal fédéral doivent indiquer notamment les conclusions et les motifs du recours. Les motifs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w:t>
      </w:r>
    </w:p>
    <w:p>
      <w:r>
        <w:rPr>
          <w:b/>
        </w:rPr>
        <w:t>E. 3</w:t>
      </w:r>
    </w:p>
    <w:p>
      <w:r>
        <w:t>En l'espèce, pour toute conclusion, la recourante demande à être jugée par le Tribunal fédéral, ce qui ne permet pas de comprendre quels points précis du jugement de dernière instance cantonale elle voudrait voir modifiés ni en quoi. Pour le surplus, on recherche en vain dans ses brèves explications toute discussion des motifs de la décision entreprise.</w:t>
      </w:r>
    </w:p>
    <w:p>
      <w:r>
        <w:rPr>
          <w:b/>
        </w:rPr>
        <w:t>E. 4</w:t>
      </w:r>
    </w:p>
    <w:p>
      <w:r>
        <w:t>L'irrecevabilité du recours est manifeste. Elle doit être constatée dans la procédure prévue par l' art. 108 al. 1 let. b LTF . Il y a lieu de statuer exceptionnellement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