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6B_228/2016 vom 20. April 2016</w:t>
      </w:r>
    </w:p>
    <w:p>
      <w:r>
        <w:t>Bundesgericht, 2016-04-20, FR</w:t>
      </w:r>
    </w:p>
    <w:p>
      <w:r>
        <w:rPr>
          <w:b/>
        </w:rPr>
        <w:t xml:space="preserve">Quelle: </w:t>
      </w:r>
      <w:r>
        <w:t>https://mcp.opencaselaw.ch/entscheid/bger_6B_228_2016</w:t>
      </w:r>
    </w:p>
    <w:p>
      <w:r>
        <w:t>FR: TF 6B_228/2016 du 20 avril 2016</w:t>
      </w:r>
    </w:p>
    <w:p>
      <w:r>
        <w:t>IT: TF 6B_228/2016 del 20 aprile 2016</w:t>
      </w:r>
    </w:p>
    <w:p>
      <w:pPr>
        <w:pStyle w:val="Heading2"/>
      </w:pPr>
      <w:r>
        <w:t>Erwägungen</w:t>
      </w:r>
    </w:p>
    <w:p>
      <w:r>
        <w:rPr>
          <w:b/>
        </w:rPr>
        <w:t>E. 1</w:t>
      </w:r>
    </w:p>
    <w:p>
      <w:r>
        <w:t>Par arrêt du 21 décembre 2015 notifié à X.________ le mercredi 20 janvier 2016, la Chambre des recours pénale du Tribunal cantonal vaudois a rejeté le recours de la prénommée et confirmé le classement rendu le 27 août 2015 dans la procédure PE12.019023-CDT instruite à la charge de A.________ pour appropriation illégitime, diffamation, menaces et tentative de contrainte. La juridiction cantonale a également rejeté la demande d'assistance judiciaire formée par X.________.</w:t>
      </w:r>
    </w:p>
    <w:p>
      <w:r>
        <w:rPr>
          <w:b/>
        </w:rPr>
        <w:t>E. 2</w:t>
      </w:r>
    </w:p>
    <w:p>
      <w:r>
        <w:t>Par écriture du 26 février 2016, X.________ requiert la restitution du délai de recours au Tribunal fédéral et la désignation d'un mandataire chargé d'exposer les motifs et les conclusions d'un recours en matière pénale au Tribunal fédéral contre l'arrêt cantonal susmentionné.</w:t>
      </w:r>
    </w:p>
    <w:p>
      <w:r>
        <w:rPr>
          <w:b/>
        </w:rPr>
        <w:t>E. 3.1</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La recourante a reçu notification de l'arrêt attaqué le vendredi 20 janvier 2016, de sorte qu'elle disposait d'un délai pour recourir au Tribunal fédéral échéant le vendredi 19 février 2016. Faxée le vendredi 26 février 2016, son écriture, indépendamment de sa forme, est tardive.</w:t>
      </w:r>
    </w:p>
    <w:p>
      <w:r>
        <w:rPr>
          <w:b/>
        </w:rPr>
        <w:t>E. 3.2</w:t>
      </w:r>
    </w:p>
    <w:p>
      <w:r>
        <w:t>L' art. 50 al. 1 LTF prévoit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l'occurrence, la recourante a omis de joindre à sa demande de restitution de délai, une écriture exposant les motifs et les conclusions au sens de l' art. 42 al. 1 et 2 LTF qu'elle entendait opposer à l'arrêt entrepris, de sorte que sa requête de restitution de délai doit être déclarée irrecevable.</w:t>
      </w:r>
    </w:p>
    <w:p>
      <w:r>
        <w:rPr>
          <w:b/>
        </w:rPr>
        <w:t>E. 3.3</w:t>
      </w:r>
    </w:p>
    <w:p>
      <w:r>
        <w:t>Sur le vu de ce qui précède, le recours doit être déclaré irrecevable selon la procédure simplifiée de l' art. 108 al. 1 let. a LTF .</w:t>
      </w:r>
    </w:p>
    <w:p>
      <w:r>
        <w:rPr>
          <w:b/>
        </w:rPr>
        <w:t>E. 4</w:t>
      </w:r>
    </w:p>
    <w:p>
      <w:r>
        <w:t>Comme les conclusions du recours étaient dépourvues de chances de succès, l'assistance judiciaire ne peut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 ème éd., ch. 38 ad art. 64 LTF ).</w:t>
      </w:r>
    </w:p>
    <w:p>
      <w:r>
        <w:rPr>
          <w:b/>
        </w:rPr>
        <w:t>E. 5</w:t>
      </w:r>
    </w:p>
    <w:p>
      <w:r>
        <w:t>La recourante,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