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223/2020 vom 24. Februar 2020</w:t>
      </w:r>
    </w:p>
    <w:p>
      <w:r>
        <w:t>Bundesgericht, 2020-02-24, FR</w:t>
      </w:r>
    </w:p>
    <w:p>
      <w:r>
        <w:rPr>
          <w:b/>
        </w:rPr>
        <w:t xml:space="preserve">Quelle: </w:t>
      </w:r>
      <w:r>
        <w:t>https://mcp.opencaselaw.ch/entscheid/bger_6B_223_2020</w:t>
      </w:r>
    </w:p>
    <w:p>
      <w:r>
        <w:t>FR: TF 6B 223/2020 du 24 février 2020</w:t>
      </w:r>
    </w:p>
    <w:p>
      <w:r>
        <w:t>IT: TF 6B 223/2020 del 24 febbraio 2020</w:t>
      </w:r>
    </w:p>
    <w:p>
      <w:pPr>
        <w:pStyle w:val="Heading2"/>
      </w:pPr>
      <w:r>
        <w:t>Regeste</w:t>
      </w:r>
    </w:p>
    <w:p>
      <w:r>
        <w:t>Ordonnance de non-entrée en matière ; irrecevabilité du recours | Procédure pénale</w:t>
      </w:r>
    </w:p>
    <w:p>
      <w:pPr>
        <w:pStyle w:val="Heading2"/>
      </w:pPr>
      <w:r>
        <w:t>Erwägungen</w:t>
      </w:r>
    </w:p>
    <w:p>
      <w:r>
        <w:rPr>
          <w:b/>
        </w:rPr>
        <w:t>E. 1</w:t>
      </w:r>
    </w:p>
    <w:p>
      <w:r>
        <w:t>Par ordonnance du 5 décembre 2019, le Procureur général du canton de Vaud a refusé d'entrer en matière sur les plaintes et dénonciations de A.________ des 11 juillet, 13 et 20 octobre 2019. Par arrêt du 19 décembre 2019, la Chambre des recours pénale du Tribunal cantonal du canton de Vaud a rejeté le recours formé par A.________ contre cette ordonnance et a confirmé celle-ci. A.________ forme un recours en matière pénale au Tribunal fédéral contre l'arrêt du 19 décembre 2019, en concluant à sa réforme en ce sens que l'instruction est reprise. Il sollicite par ailleurs le bénéfice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En l'espèce, le recourant ne décrit pas quelles conclusions civiles il pourrait déduire des diverses infractions dont il se plaint. En outre, il n'explique pas dans quelle mesure il aurait la possibilité de formuler des prétentions civiles à l'encontre du procureur vaudois dénoncé, soit un agent de l'Etat (cf. art. 3 al. 1 ch. 6 de la loi vaudoise sur la responsabilité de l'Etat, des communes et de leurs agents [LRECA/VD; RS/VD 170.11]), étant rappelé que des prétentions fondées sur le droit public en raison de la responsabilité d'agents de l'Etat ne constituent pas des prétentions civiles au sens de l'art. 81 al. 1 let. b ch. 5 LTF (cf. arrêts 6B_1470/2019 du 20 janvier 2020 consid. 2.2; 6B_1183/2019 du 30 octobre 2019 consid. 2.2). A défaut d'explications en la matière, le recourant n'a pas la qualité pour recourir sur le fond de la cause au sens de l'art. 81 al. 1 let. b ch. 5 LTF.</w:t>
      </w:r>
    </w:p>
    <w:p>
      <w:r>
        <w:rPr>
          <w:b/>
        </w:rPr>
        <w:t>E. 2.3</w:t>
      </w:r>
    </w:p>
    <w:p>
      <w:r>
        <w:t>L'hypothèse visée à l'art. 81 al. 1 let. b ch. 6 LTF n'entre pas en considération dans le cas d'espèce, dès lors que le recourant ne formule aucun grief recevable relatif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 Le recourant ne formule aucun grief recevable de cette nature.</w:t>
      </w:r>
    </w:p>
    <w:p>
      <w:r>
        <w:rPr>
          <w:b/>
        </w:rPr>
        <w:t>E. 3</w:t>
      </w:r>
    </w:p>
    <w:p>
      <w:r>
        <w:t>Sur le vu de ce qui précède, le recours doit être déclaré irrecevable selon la procédure simplifiée prévue par l' art. 108 al. 1 let. a LTF . Comme ses conclusions étaient dépourvues de chances de succès, l'assistance judiciaire ne peut être accordée ( art. 64 al. 1 LTF ). Par conséquent,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