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223/2017 vom 23. Februar 2017</w:t>
      </w:r>
    </w:p>
    <w:p>
      <w:r>
        <w:t>Bundesgericht, 2017-02-23, DE</w:t>
      </w:r>
    </w:p>
    <w:p>
      <w:r>
        <w:rPr>
          <w:b/>
        </w:rPr>
        <w:t xml:space="preserve">Quelle: </w:t>
      </w:r>
      <w:r>
        <w:t>https://mcp.opencaselaw.ch/entscheid/bger_6B_223_2017</w:t>
      </w:r>
    </w:p>
    <w:p>
      <w:r>
        <w:t>FR: TF 6B 223/2017 du 23 février 2017</w:t>
      </w:r>
    </w:p>
    <w:p>
      <w:r>
        <w:t>IT: TF 6B 223/2017 del 23 febbraio 2017</w:t>
      </w:r>
    </w:p>
    <w:p>
      <w:pPr>
        <w:pStyle w:val="Heading2"/>
      </w:pPr>
      <w:r>
        <w:t>Regeste</w:t>
      </w:r>
    </w:p>
    <w:p>
      <w:r>
        <w:t>Nichtanhandnahme (Verleumdung etc.) | Strafprozess</w:t>
      </w:r>
    </w:p>
    <w:p>
      <w:pPr>
        <w:pStyle w:val="Heading2"/>
      </w:pPr>
      <w:r>
        <w:t>Erwägungen</w:t>
      </w:r>
    </w:p>
    <w:p>
      <w:r>
        <w:rPr>
          <w:b/>
        </w:rPr>
        <w:t>E. 1</w:t>
      </w:r>
    </w:p>
    <w:p>
      <w:r>
        <w:t>Eine Beschwerde in Strafsachen ist innert 30 Tagen nach der Eröffnung der vollständigen Ausfertigung des angefochtenen Entscheids beim Bundesgericht einzureichen ( Art. 100 Abs. 1 BGG ).</w:t>
      </w:r>
    </w:p>
    <w:p>
      <w:r>
        <w:rPr>
          <w:b/>
        </w:rPr>
        <w:t>E. 2</w:t>
      </w:r>
    </w:p>
    <w:p>
      <w:r>
        <w:t>Der vorinstanzliche Entscheid wurde dem Beschwerdeführer am 17. Januar 2017 zugestellt. Die Beschwerdefrist von 30 Tagen endete daher am 16. Februar 2017. Die Eingabe des Beschwerdeführers datiert vom 17. Februar 2017 und wurde gemäss Poststempel auch an diesem Tag der Post übergeben. Die Beschwerde erfolgte somit verspätet, weshalb darauf im Verfahren nach Art. 108 BGG nicht einzutreten ist.</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