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6B_222/2020 vom 10. Juni 2020</w:t>
      </w:r>
    </w:p>
    <w:p>
      <w:r>
        <w:t>Bundesgericht, 2020-06-10, FR</w:t>
      </w:r>
    </w:p>
    <w:p>
      <w:r>
        <w:rPr>
          <w:b/>
        </w:rPr>
        <w:t xml:space="preserve">Quelle: </w:t>
      </w:r>
      <w:r>
        <w:t>https://mcp.opencaselaw.ch/entscheid/bger_6B_222_2020</w:t>
      </w:r>
    </w:p>
    <w:p>
      <w:r>
        <w:t>FR: TF 6B_222/2020 du 10 juin 2020</w:t>
      </w:r>
    </w:p>
    <w:p>
      <w:r>
        <w:t>IT: TF 6B_222/2020 del 10 giugno 2020</w:t>
      </w:r>
    </w:p>
    <w:p>
      <w:pPr>
        <w:pStyle w:val="Heading2"/>
      </w:pPr>
      <w:r>
        <w:t>Erwägungen</w:t>
      </w:r>
    </w:p>
    <w:p>
      <w:r>
        <w:rPr>
          <w:b/>
        </w:rPr>
        <w:t>E. 1</w:t>
      </w:r>
    </w:p>
    <w:p>
      <w:r>
        <w:t>Conformément à l' art. 80 LTF , seul le jugement de la Cour d'appel pénale peut faire l'objet d'un recours en matière pénale au Tribunal fédéral, de sorte que le recourant ne saurait conclure à la modification du jugement du Tribunal correctionnel. Toutefois, les conclusions pouvant être interprétés à la lumière de la motivation du recours (voir ATF 137 II 313 consid. 1.3 p. 317) il y a lieu d'admettre que celles-ci tendent en réalité à la modification du jugement de la Cour d'appel pénale et sont partant recevables.</w:t>
      </w:r>
    </w:p>
    <w:p>
      <w:r>
        <w:rPr>
          <w:b/>
        </w:rPr>
        <w:t>E. 2</w:t>
      </w:r>
    </w:p>
    <w:p>
      <w:r>
        <w:t>Le recourant soutient que la cour cantonale a constaté les faits de manière manifestement inexacte. Il lui reproche de n'avoir pris en considération que la version de l'intimée.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w:t>
      </w:r>
    </w:p>
    <w:p>
      <w:r>
        <w:t>Le Tribunal fédéral n'entre en matière sur les moyens fondés sur la violation de droits fondamentaux que s'ils ont été invoqués et motivés de manière précise ( art. 106 al. 2 LTF ). Les critiques de nature appellatoire sont irrecevables ( ATF 145 IV 154 consid. 1.1 p. 155 s.).</w:t>
      </w:r>
    </w:p>
    <w:p>
      <w:r>
        <w:rPr>
          <w:b/>
        </w:rPr>
        <w:t>E. 2.2</w:t>
      </w:r>
    </w:p>
    <w:p>
      <w:r>
        <w:t>Contrairement à ce que soutient le recourant, la cour cantonale a mentionné plusieurs éléments de preuve, à savoir divers témoignages, les aveux partiels du père de l'intimée, une analyse toxicologique des cheveux de cette dernière, les explications des policiers qui ont effectué des démarches au Kosovo, une perquisition ainsi que des contrôles téléphoniques, qui corroborent la version des faits de l'intimée (voir jugement attaqué consid. 3.2 p. 19 ss). C'est donc en vain qu'il lui reproche de s'être fondée uniquement sur les déclarations de l'intimée.</w:t>
      </w:r>
    </w:p>
    <w:p>
      <w:r>
        <w:t>Pour le surplus, l'argumentation du recourant est de nature essentiellement appellatoire et ne contient aucun élément satisfaisant aux exigences de motivation de l' art. 106 al. 2 LTF . Notamment dans la mesure où le recourant se prévaut d'une prétendue propension de l'intimée à mentir ou à prendre des décisions soudaines, il ne se fonde sur aucun élément du dossier. De même, c'est en vain qu'il cherche à remettre en question les déclarations de l'intimée au motif que celles-ci auraient varié; il ne mentionne à ce propos que des points de détail qui ne sont pas susceptibles de remettre en question des déclarations par ailleurs constantes et corroborées par de nombreux autres éléments du dossier.</w:t>
      </w:r>
    </w:p>
    <w:p>
      <w:r>
        <w:rPr>
          <w:b/>
        </w:rPr>
        <w:t>E. 3</w:t>
      </w:r>
    </w:p>
    <w:p>
      <w:r>
        <w:t>Le recourant conteste que la circonstance aggravante de l' art. 184 CP soit réalisée car il a quitté le Kosovo dès le lendemain de son arrivée et il n'avait pas la " conscience et la volonté " de priver l'intimée de sa liberté durant toute cette période.</w:t>
      </w:r>
    </w:p>
    <w:p>
      <w:r>
        <w:t>Conformément à cette disposition, l'infraction est punie d'une peine privative de liberté d'un an au moins notamment si la privation de liberté a duré plus de dix jours. Pour que la circonstance aggravante soit réalisée, la durée doit être atteinte sur les plans objectif et subjectif (D ELNON/RÜDY, in Basler Kommentar, Strafrecht II, 4e éd., 2019, n° 21 ad art. 184; BERNARD CORBOZ, Les infractions en droit suisse vol. I, 3e éd. 2010, n° 93 ad art. 183 et 184 CP ; MICHEL DUPUIS ET AL., Petit commentaire du Code pénal, 2e éd., 2017, n° 18 ad art. 184 CP ). Cela implique que l'intention de l'auteur porte également sur la durée, le dol éventuel étant suffisant (MARC PELLET, in Commentaire romand, Code pénal II, 2017, n° 12 ad art. 184 CP ; ANDREAS DONATSCH, Strafrecht III: Delikte gegen den Einzelnen, 11ème éd. 2018, p. 484; JOSÉ HURTADO POZO, Droit pénal; partie spéciale, 2009, p. 786 n° 2620). Lorsqu'un complice ou un coauteur ne participe à l'infraction que durant une partie de la privation de liberté, c'est en fonction de son intention qu'il faut déterminer si l' art. 184 CP s'applique; c'est le cas si sa conscience et sa volonté portaient sur une privation de liberté d'une durée de plus de dix jours, le dol éventuel étant également suffisant (DELNON/RÜDY, op.cit., loc. cit.; MARTIN SCHUBARTH, Kommentar zum schweizerischen Strafrecht, partie spéciale, vol. 3, 1984, n° 14 ad art. 184 CP ; HANS-PETER EGLI, Freiheitsberaubung, Entführung und Geiselnahme, thèse Zurich 1986 p. 144).</w:t>
      </w:r>
    </w:p>
    <w:p>
      <w:r>
        <w:t>Il ressort des constatations de la cour cantonale que le recourant a joué un rôle essentiel dans l'enlèvement de l'intimée, dont le but était de la priver de sa liberté au moins aussi longtemps qu'il le faudrait pour qu'elle renonce à poursuivre sa relation amoureuse. Le recourant, qui savait parfaitement à quelles fins sa nièce avait été emmenée de force au Kosovo, ne pouvait qu'accepter l'hypothèse que la privation de liberté ait une durée supérieure à dix jours, ce qui justifie sa condamnation en vertu de l' art. 184 CP .</w:t>
      </w:r>
    </w:p>
    <w:p>
      <w:r>
        <w:t>Dans la mesure où le recourant prétend avoir uniquement profité du voyage pour aller rendre visite à son père malade, son argumentation repose sur un élément de fait qui n'a pas été retenu par la cour cantonale et n'est, partant, pas recevable.</w:t>
      </w:r>
    </w:p>
    <w:p>
      <w:r>
        <w:rPr>
          <w:b/>
        </w:rPr>
        <w:t>E. 4</w:t>
      </w:r>
    </w:p>
    <w:p>
      <w:r>
        <w:t>Le recourant s'en prend en outre à la quotité de la peine qui lui a été infligée. Selon lui, le jugement attaqué ne permet pas de comprendre l'écart important entre sa propre peine et celle de 24 mois avec sursis prononcée à l'encontre de son comparse, à savoir le père de l'intimée.</w:t>
      </w:r>
    </w:p>
    <w:p>
      <w:r>
        <w:rPr>
          <w:b/>
        </w:rPr>
        <w:t>E. 4.1</w:t>
      </w:r>
    </w:p>
    <w:p>
      <w:r>
        <w:t>Les règles générales relatives à la fixation de la peine ( art. 47 CP ) ont été rappelées aux ATF 144 IV 313 consid. 1.2 p. 319, 142 IV 137 consid. 9.1 p. 147, 141 IV 61 consid. 6.1.1 p. 66 s, 136 IV 55 et 134 IV 17, auxquels on peut renvoyer.</w:t>
      </w:r>
    </w:p>
    <w:p>
      <w:r>
        <w:t>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w:t>
      </w:r>
    </w:p>
    <w:p>
      <w:r>
        <w:rPr>
          <w:b/>
        </w:rPr>
        <w:t>E. 4.2</w:t>
      </w:r>
    </w:p>
    <w:p>
      <w:r>
        <w:t>Contrairement à ce qu'allègue le recourant, la cour cantonale a dûment exposé les éléments qu'elle a pris en considération pour fixer la peine. Elle a notamment noté la lourde culpabilité du recourant ainsi que sa participation majeure à l'infraction, dans la réalisation de laquelle il a joué un rôle de premier plan. Elle a par ailleurs relevé que, contrairement à son beau-frère et coaccusé, qui avait fini par reconnaître sa culpabilité, le recourant a persisté à dénigrer l'intimée et à nier l'évidence, malgré toutes les preuves accumulées contre lui, ce qui montre qu'il n'a pas changé de mentalité et effectué aucune prise de conscience. Cette motivation, qui ne prête pas le flanc à la critique, est suffisante pour permettre à la cour de constater que la peine a été fixée dans le respect des principes rappelés au considérant 4.1 ci-dessus.</w:t>
      </w:r>
    </w:p>
    <w:p>
      <w:r>
        <w:t>Le recourant se prévaut par ailleurs de son droit de ne pas s'auto-incriminer. Comme il le relève au demeurant lui-même, selon une jurisprudence constante, le droit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(cf. ATF 141 IV 61 consid. 6.1.1 p. 66 s.; 129 IV 6 consid. 6.1 p. 20; voir également l'arrêt 6B_637/2018 du 10 octobre 2018 consid. 2.3). C'est donc sans violer le droit fédéral que la cour cantonale a considéré que les dénégations du recourant dénotaient une absence totale de prise conscience, circonstance pertinente pour fixer la peine.</w:t>
      </w:r>
    </w:p>
    <w:p>
      <w:r>
        <w:t>Pour le surplus, l'argumentation du recourant consiste à nier une fois encore les faits retenus à son encontre; elle est donc irrecevable dans cette mesure.</w:t>
      </w:r>
    </w:p>
    <w:p>
      <w:r>
        <w:rPr>
          <w:b/>
        </w:rPr>
        <w:t>E. 5</w:t>
      </w:r>
    </w:p>
    <w:p>
      <w:r>
        <w:t>Mal fondé,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